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1E7" w:rsidRDefault="008C71E7" w:rsidP="008C71E7">
      <w:pPr>
        <w:pStyle w:val="1"/>
        <w:jc w:val="center"/>
        <w:rPr>
          <w:color w:val="000000"/>
        </w:rPr>
      </w:pPr>
      <w:bookmarkStart w:id="0" w:name="_Toc398107886"/>
      <w:r>
        <w:rPr>
          <w:rFonts w:hint="eastAsia"/>
          <w:color w:val="000000"/>
        </w:rPr>
        <w:t>评标办法（综合评估法）</w:t>
      </w:r>
      <w:bookmarkEnd w:id="0"/>
    </w:p>
    <w:tbl>
      <w:tblPr>
        <w:tblW w:w="9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909"/>
        <w:gridCol w:w="99"/>
        <w:gridCol w:w="2453"/>
        <w:gridCol w:w="3818"/>
        <w:gridCol w:w="929"/>
      </w:tblGrid>
      <w:tr w:rsidR="008C71E7" w:rsidTr="008C71E7">
        <w:tc>
          <w:tcPr>
            <w:tcW w:w="1809" w:type="dxa"/>
            <w:gridSpan w:val="2"/>
            <w:tcBorders>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b/>
                <w:color w:val="000000"/>
                <w:szCs w:val="21"/>
              </w:rPr>
            </w:pPr>
            <w:r>
              <w:rPr>
                <w:rFonts w:ascii="宋体" w:hAnsi="宋体"/>
                <w:b/>
                <w:color w:val="000000"/>
                <w:szCs w:val="21"/>
              </w:rPr>
              <w:t>条款号</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b/>
                <w:color w:val="000000"/>
                <w:szCs w:val="21"/>
              </w:rPr>
            </w:pPr>
            <w:r>
              <w:rPr>
                <w:rFonts w:ascii="宋体" w:hAnsi="宋体"/>
                <w:b/>
                <w:color w:val="000000"/>
                <w:szCs w:val="21"/>
              </w:rPr>
              <w:t>条款内容</w:t>
            </w:r>
          </w:p>
        </w:tc>
        <w:tc>
          <w:tcPr>
            <w:tcW w:w="4747" w:type="dxa"/>
            <w:gridSpan w:val="2"/>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b/>
                <w:color w:val="000000"/>
                <w:szCs w:val="21"/>
              </w:rPr>
            </w:pPr>
            <w:r>
              <w:rPr>
                <w:rFonts w:ascii="宋体" w:hAnsi="宋体"/>
                <w:b/>
                <w:color w:val="000000"/>
                <w:szCs w:val="21"/>
              </w:rPr>
              <w:t>编列内容</w:t>
            </w:r>
          </w:p>
        </w:tc>
      </w:tr>
      <w:tr w:rsidR="008C71E7" w:rsidTr="008C71E7">
        <w:trPr>
          <w:trHeight w:val="735"/>
        </w:trPr>
        <w:tc>
          <w:tcPr>
            <w:tcW w:w="1809" w:type="dxa"/>
            <w:gridSpan w:val="2"/>
            <w:tcBorders>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color w:val="000000"/>
                <w:szCs w:val="21"/>
              </w:rPr>
              <w:t>2</w:t>
            </w:r>
            <w:r>
              <w:rPr>
                <w:rFonts w:ascii="宋体" w:hAnsi="宋体" w:hint="eastAsia"/>
                <w:color w:val="000000"/>
                <w:szCs w:val="21"/>
              </w:rPr>
              <w:t>.2.1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320" w:lineRule="exact"/>
              <w:jc w:val="center"/>
              <w:textAlignment w:val="center"/>
              <w:rPr>
                <w:rFonts w:ascii="宋体" w:hAnsi="宋体"/>
                <w:color w:val="000000"/>
                <w:szCs w:val="21"/>
              </w:rPr>
            </w:pPr>
            <w:r>
              <w:rPr>
                <w:rFonts w:ascii="宋体" w:hAnsi="宋体"/>
                <w:color w:val="000000"/>
                <w:szCs w:val="21"/>
              </w:rPr>
              <w:t>分值构成</w:t>
            </w:r>
          </w:p>
          <w:p w:rsidR="008C71E7" w:rsidRDefault="008C71E7" w:rsidP="000C3F3D">
            <w:pPr>
              <w:spacing w:line="320" w:lineRule="exact"/>
              <w:jc w:val="center"/>
              <w:textAlignment w:val="center"/>
              <w:rPr>
                <w:rFonts w:ascii="宋体" w:hAnsi="宋体"/>
                <w:color w:val="000000"/>
                <w:szCs w:val="21"/>
              </w:rPr>
            </w:pPr>
            <w:r>
              <w:rPr>
                <w:rFonts w:ascii="宋体" w:hAnsi="宋体"/>
                <w:color w:val="000000"/>
                <w:szCs w:val="21"/>
              </w:rPr>
              <w:t>(总分100分)</w:t>
            </w:r>
          </w:p>
        </w:tc>
        <w:tc>
          <w:tcPr>
            <w:tcW w:w="4747" w:type="dxa"/>
            <w:gridSpan w:val="2"/>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320" w:lineRule="exact"/>
              <w:jc w:val="left"/>
              <w:textAlignment w:val="center"/>
              <w:rPr>
                <w:rFonts w:ascii="宋体" w:hAnsi="宋体"/>
                <w:color w:val="000000"/>
                <w:szCs w:val="21"/>
              </w:rPr>
            </w:pPr>
            <w:r>
              <w:rPr>
                <w:rFonts w:ascii="宋体" w:hAnsi="宋体"/>
                <w:color w:val="000000"/>
                <w:szCs w:val="21"/>
              </w:rPr>
              <w:t>投标报价：</w:t>
            </w:r>
            <w:r>
              <w:rPr>
                <w:rFonts w:ascii="宋体" w:hAnsi="宋体" w:hint="eastAsia"/>
                <w:color w:val="000000"/>
                <w:szCs w:val="21"/>
                <w:u w:val="single"/>
              </w:rPr>
              <w:t xml:space="preserve">  35</w:t>
            </w:r>
            <w:r>
              <w:rPr>
                <w:rFonts w:ascii="宋体" w:hAnsi="宋体"/>
                <w:color w:val="000000"/>
                <w:szCs w:val="21"/>
              </w:rPr>
              <w:t>分</w:t>
            </w:r>
          </w:p>
          <w:p w:rsidR="008C71E7" w:rsidRDefault="008C71E7" w:rsidP="000C3F3D">
            <w:pPr>
              <w:spacing w:line="320" w:lineRule="exact"/>
              <w:jc w:val="left"/>
              <w:textAlignment w:val="center"/>
              <w:rPr>
                <w:rFonts w:ascii="宋体" w:hAnsi="宋体"/>
                <w:color w:val="000000"/>
                <w:szCs w:val="21"/>
              </w:rPr>
            </w:pPr>
            <w:r>
              <w:rPr>
                <w:rFonts w:ascii="宋体" w:hAnsi="宋体" w:hint="eastAsia"/>
                <w:color w:val="000000"/>
                <w:szCs w:val="21"/>
              </w:rPr>
              <w:t>监理大纲</w:t>
            </w:r>
            <w:r>
              <w:rPr>
                <w:rFonts w:ascii="宋体" w:hAnsi="宋体"/>
                <w:color w:val="000000"/>
                <w:szCs w:val="21"/>
              </w:rPr>
              <w:t>：</w:t>
            </w:r>
            <w:r>
              <w:rPr>
                <w:rFonts w:ascii="宋体" w:hAnsi="宋体" w:hint="eastAsia"/>
                <w:color w:val="000000"/>
                <w:szCs w:val="21"/>
                <w:u w:val="single"/>
              </w:rPr>
              <w:t xml:space="preserve"> 20</w:t>
            </w:r>
            <w:r>
              <w:rPr>
                <w:rFonts w:ascii="宋体" w:hAnsi="宋体"/>
                <w:color w:val="000000"/>
                <w:szCs w:val="21"/>
              </w:rPr>
              <w:t>分</w:t>
            </w:r>
          </w:p>
          <w:p w:rsidR="008C71E7" w:rsidRDefault="008C71E7" w:rsidP="000C3F3D">
            <w:pPr>
              <w:spacing w:line="320" w:lineRule="exact"/>
              <w:jc w:val="left"/>
              <w:textAlignment w:val="center"/>
              <w:rPr>
                <w:rFonts w:ascii="宋体" w:hAnsi="宋体"/>
                <w:color w:val="000000"/>
                <w:szCs w:val="21"/>
              </w:rPr>
            </w:pPr>
            <w:r>
              <w:rPr>
                <w:rFonts w:ascii="宋体" w:hAnsi="宋体"/>
                <w:color w:val="000000"/>
                <w:szCs w:val="21"/>
              </w:rPr>
              <w:t>项目管理机构：</w:t>
            </w:r>
            <w:r>
              <w:rPr>
                <w:rFonts w:ascii="宋体" w:hAnsi="宋体" w:hint="eastAsia"/>
                <w:color w:val="000000"/>
                <w:szCs w:val="21"/>
                <w:u w:val="single"/>
              </w:rPr>
              <w:t xml:space="preserve">  30 </w:t>
            </w:r>
            <w:r>
              <w:rPr>
                <w:rFonts w:ascii="宋体" w:hAnsi="宋体"/>
                <w:color w:val="000000"/>
                <w:szCs w:val="21"/>
              </w:rPr>
              <w:t xml:space="preserve"> 分</w:t>
            </w:r>
          </w:p>
          <w:p w:rsidR="008C71E7" w:rsidRDefault="008C71E7" w:rsidP="000C3F3D">
            <w:pPr>
              <w:spacing w:line="320" w:lineRule="exact"/>
              <w:jc w:val="left"/>
              <w:textAlignment w:val="center"/>
              <w:rPr>
                <w:rFonts w:ascii="宋体" w:hAnsi="宋体"/>
                <w:color w:val="000000"/>
                <w:szCs w:val="21"/>
              </w:rPr>
            </w:pPr>
            <w:r>
              <w:rPr>
                <w:rFonts w:ascii="宋体" w:hAnsi="宋体" w:hint="eastAsia"/>
                <w:color w:val="000000"/>
                <w:szCs w:val="21"/>
              </w:rPr>
              <w:t>拟投入现场的设备、检测仪器等：</w:t>
            </w:r>
            <w:r>
              <w:rPr>
                <w:rFonts w:ascii="宋体" w:hAnsi="宋体" w:hint="eastAsia"/>
                <w:color w:val="000000"/>
                <w:szCs w:val="21"/>
                <w:u w:val="single"/>
              </w:rPr>
              <w:t xml:space="preserve">5 </w:t>
            </w:r>
            <w:r>
              <w:rPr>
                <w:rFonts w:ascii="宋体" w:hAnsi="宋体" w:hint="eastAsia"/>
                <w:color w:val="000000"/>
                <w:szCs w:val="21"/>
              </w:rPr>
              <w:t xml:space="preserve"> 分</w:t>
            </w:r>
          </w:p>
          <w:p w:rsidR="008C71E7" w:rsidRDefault="008C71E7" w:rsidP="000C3F3D">
            <w:pPr>
              <w:spacing w:line="320" w:lineRule="exact"/>
              <w:jc w:val="left"/>
              <w:textAlignment w:val="center"/>
              <w:rPr>
                <w:rFonts w:ascii="宋体" w:hAnsi="宋体"/>
                <w:color w:val="000000"/>
                <w:szCs w:val="21"/>
              </w:rPr>
            </w:pPr>
            <w:r>
              <w:rPr>
                <w:rFonts w:ascii="宋体" w:hAnsi="宋体" w:hint="eastAsia"/>
                <w:color w:val="000000"/>
                <w:szCs w:val="21"/>
              </w:rPr>
              <w:t>总监答辩：</w:t>
            </w:r>
            <w:r>
              <w:rPr>
                <w:rFonts w:ascii="宋体" w:hAnsi="宋体" w:hint="eastAsia"/>
                <w:color w:val="000000"/>
                <w:szCs w:val="21"/>
                <w:u w:val="single"/>
              </w:rPr>
              <w:t xml:space="preserve"> 5</w:t>
            </w:r>
            <w:r>
              <w:rPr>
                <w:rFonts w:ascii="宋体" w:hAnsi="宋体" w:hint="eastAsia"/>
                <w:color w:val="000000"/>
                <w:szCs w:val="21"/>
              </w:rPr>
              <w:t xml:space="preserve"> 分</w:t>
            </w:r>
          </w:p>
          <w:p w:rsidR="008C71E7" w:rsidRDefault="008C71E7" w:rsidP="000C3F3D">
            <w:pPr>
              <w:spacing w:line="320" w:lineRule="exact"/>
              <w:jc w:val="left"/>
              <w:textAlignment w:val="center"/>
              <w:rPr>
                <w:rFonts w:ascii="宋体" w:hAnsi="宋体"/>
                <w:color w:val="000000"/>
                <w:szCs w:val="21"/>
              </w:rPr>
            </w:pPr>
            <w:r>
              <w:rPr>
                <w:rFonts w:ascii="宋体" w:hAnsi="宋体" w:hint="eastAsia"/>
                <w:color w:val="000000"/>
                <w:szCs w:val="21"/>
              </w:rPr>
              <w:t>总监素质：</w:t>
            </w:r>
            <w:r>
              <w:rPr>
                <w:rFonts w:ascii="宋体" w:hAnsi="宋体" w:hint="eastAsia"/>
                <w:color w:val="000000"/>
                <w:szCs w:val="21"/>
                <w:u w:val="single"/>
              </w:rPr>
              <w:t xml:space="preserve"> 7</w:t>
            </w:r>
            <w:r>
              <w:rPr>
                <w:rFonts w:ascii="宋体" w:hAnsi="宋体" w:hint="eastAsia"/>
                <w:color w:val="000000"/>
                <w:szCs w:val="21"/>
              </w:rPr>
              <w:t xml:space="preserve"> 分</w:t>
            </w:r>
          </w:p>
          <w:p w:rsidR="008C71E7" w:rsidRDefault="008C71E7" w:rsidP="000C3F3D">
            <w:pPr>
              <w:spacing w:line="320" w:lineRule="exact"/>
              <w:jc w:val="left"/>
              <w:textAlignment w:val="center"/>
              <w:rPr>
                <w:rFonts w:ascii="宋体" w:hAnsi="宋体"/>
                <w:color w:val="000000"/>
                <w:szCs w:val="21"/>
              </w:rPr>
            </w:pPr>
            <w:r>
              <w:rPr>
                <w:rFonts w:ascii="宋体" w:hAnsi="宋体" w:hint="eastAsia"/>
                <w:color w:val="000000"/>
                <w:szCs w:val="21"/>
              </w:rPr>
              <w:t>项目监理机构人员配置与服务承诺：</w:t>
            </w:r>
            <w:r>
              <w:rPr>
                <w:rFonts w:ascii="宋体" w:hAnsi="宋体" w:hint="eastAsia"/>
                <w:color w:val="000000"/>
                <w:szCs w:val="21"/>
                <w:u w:val="single"/>
              </w:rPr>
              <w:t xml:space="preserve"> 18</w:t>
            </w:r>
            <w:r>
              <w:rPr>
                <w:rFonts w:ascii="宋体" w:hAnsi="宋体" w:hint="eastAsia"/>
                <w:color w:val="000000"/>
                <w:szCs w:val="21"/>
              </w:rPr>
              <w:t xml:space="preserve"> 分</w:t>
            </w:r>
          </w:p>
          <w:p w:rsidR="008C71E7" w:rsidRDefault="008C71E7" w:rsidP="000C3F3D">
            <w:pPr>
              <w:spacing w:line="320" w:lineRule="exact"/>
              <w:jc w:val="left"/>
              <w:textAlignment w:val="center"/>
              <w:rPr>
                <w:rFonts w:ascii="华文细黑" w:hAnsi="华文细黑"/>
                <w:color w:val="000000"/>
                <w:szCs w:val="21"/>
              </w:rPr>
            </w:pPr>
            <w:r>
              <w:rPr>
                <w:rFonts w:ascii="华文细黑" w:hAnsi="华文细黑" w:hint="eastAsia"/>
                <w:color w:val="000000"/>
                <w:szCs w:val="21"/>
              </w:rPr>
              <w:t>信用分</w:t>
            </w:r>
            <w:r>
              <w:rPr>
                <w:rFonts w:ascii="华文细黑" w:hAnsi="华文细黑" w:hint="eastAsia"/>
                <w:color w:val="000000"/>
                <w:szCs w:val="21"/>
              </w:rPr>
              <w:t xml:space="preserve"> </w:t>
            </w:r>
            <w:r>
              <w:rPr>
                <w:rFonts w:ascii="华文细黑" w:hAnsi="华文细黑" w:hint="eastAsia"/>
                <w:color w:val="000000"/>
                <w:szCs w:val="21"/>
              </w:rPr>
              <w:t>：</w:t>
            </w:r>
            <w:r>
              <w:rPr>
                <w:rFonts w:ascii="华文细黑" w:hAnsi="华文细黑" w:hint="eastAsia"/>
                <w:color w:val="000000"/>
                <w:szCs w:val="21"/>
                <w:u w:val="single"/>
              </w:rPr>
              <w:t>10</w:t>
            </w:r>
            <w:r>
              <w:rPr>
                <w:rFonts w:ascii="华文细黑" w:hAnsi="华文细黑" w:hint="eastAsia"/>
                <w:color w:val="000000"/>
                <w:szCs w:val="21"/>
              </w:rPr>
              <w:t>分（其中投标单位信用分</w:t>
            </w:r>
            <w:r>
              <w:rPr>
                <w:rFonts w:ascii="华文细黑" w:hAnsi="华文细黑" w:hint="eastAsia"/>
                <w:color w:val="000000"/>
                <w:szCs w:val="21"/>
              </w:rPr>
              <w:t>7</w:t>
            </w:r>
            <w:r>
              <w:rPr>
                <w:rFonts w:ascii="华文细黑" w:hAnsi="华文细黑" w:hint="eastAsia"/>
                <w:color w:val="000000"/>
                <w:szCs w:val="21"/>
              </w:rPr>
              <w:t>分，投标总监信用分</w:t>
            </w:r>
            <w:r>
              <w:rPr>
                <w:rFonts w:ascii="华文细黑" w:hAnsi="华文细黑" w:hint="eastAsia"/>
                <w:color w:val="000000"/>
                <w:szCs w:val="21"/>
              </w:rPr>
              <w:t>3</w:t>
            </w:r>
            <w:r>
              <w:rPr>
                <w:rFonts w:ascii="华文细黑" w:hAnsi="华文细黑" w:hint="eastAsia"/>
                <w:color w:val="000000"/>
                <w:szCs w:val="21"/>
              </w:rPr>
              <w:t>分）</w:t>
            </w:r>
          </w:p>
          <w:p w:rsidR="008C71E7" w:rsidRDefault="008C71E7" w:rsidP="000C3F3D">
            <w:pPr>
              <w:spacing w:line="320" w:lineRule="exact"/>
              <w:ind w:firstLineChars="150" w:firstLine="315"/>
              <w:jc w:val="left"/>
              <w:textAlignment w:val="center"/>
              <w:rPr>
                <w:rFonts w:ascii="宋体" w:hAnsi="宋体"/>
                <w:color w:val="000000"/>
                <w:szCs w:val="21"/>
              </w:rPr>
            </w:pPr>
            <w:r>
              <w:rPr>
                <w:rFonts w:hint="eastAsia"/>
              </w:rPr>
              <w:t>投标文件的监理大纲得分应取所有评委评分中分别去掉一个最高和最低评分后的平均值为最终得分。</w:t>
            </w:r>
            <w:r>
              <w:rPr>
                <w:rFonts w:ascii="宋体" w:hAnsi="宋体" w:hint="eastAsia"/>
                <w:color w:val="000000"/>
                <w:szCs w:val="21"/>
              </w:rPr>
              <w:t xml:space="preserve">  </w:t>
            </w:r>
          </w:p>
        </w:tc>
      </w:tr>
      <w:tr w:rsidR="008C71E7" w:rsidTr="008C71E7">
        <w:trPr>
          <w:trHeight w:val="456"/>
        </w:trPr>
        <w:tc>
          <w:tcPr>
            <w:tcW w:w="1809" w:type="dxa"/>
            <w:gridSpan w:val="2"/>
            <w:tcBorders>
              <w:top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szCs w:val="21"/>
              </w:rPr>
            </w:pPr>
            <w:r>
              <w:rPr>
                <w:rFonts w:ascii="宋体" w:hAnsi="宋体" w:cs="宋体" w:hint="eastAsia"/>
                <w:kern w:val="0"/>
                <w:szCs w:val="21"/>
              </w:rPr>
              <w:t>2.2.2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C71E7" w:rsidRDefault="008C71E7" w:rsidP="000C3F3D">
            <w:pPr>
              <w:jc w:val="center"/>
              <w:rPr>
                <w:rFonts w:ascii="宋体" w:hAnsi="宋体"/>
                <w:szCs w:val="21"/>
              </w:rPr>
            </w:pPr>
            <w:r>
              <w:rPr>
                <w:rFonts w:ascii="宋体" w:hAnsi="宋体" w:hint="eastAsia"/>
                <w:szCs w:val="21"/>
              </w:rPr>
              <w:t>评标基准价计算方法</w:t>
            </w:r>
          </w:p>
        </w:tc>
        <w:tc>
          <w:tcPr>
            <w:tcW w:w="4747" w:type="dxa"/>
            <w:gridSpan w:val="2"/>
            <w:tcBorders>
              <w:top w:val="single" w:sz="4" w:space="0" w:color="auto"/>
              <w:left w:val="single" w:sz="4" w:space="0" w:color="auto"/>
              <w:bottom w:val="single" w:sz="4" w:space="0" w:color="auto"/>
              <w:right w:val="single" w:sz="4" w:space="0" w:color="auto"/>
            </w:tcBorders>
            <w:vAlign w:val="center"/>
          </w:tcPr>
          <w:p w:rsidR="008C71E7" w:rsidRDefault="008C71E7" w:rsidP="000C3F3D">
            <w:pPr>
              <w:rPr>
                <w:rFonts w:ascii="宋体" w:hAnsi="宋体"/>
                <w:szCs w:val="21"/>
              </w:rPr>
            </w:pPr>
            <w:r>
              <w:rPr>
                <w:rFonts w:ascii="MS Mincho" w:eastAsia="MS Mincho" w:hAnsi="MS Mincho" w:cs="MS Mincho" w:hint="eastAsia"/>
                <w:szCs w:val="21"/>
              </w:rPr>
              <w:t>☑</w:t>
            </w:r>
            <w:r>
              <w:rPr>
                <w:rFonts w:ascii="宋体" w:hAnsi="宋体"/>
                <w:szCs w:val="21"/>
              </w:rPr>
              <w:t xml:space="preserve"> </w:t>
            </w:r>
            <w:r>
              <w:rPr>
                <w:rFonts w:ascii="宋体" w:hAnsi="宋体" w:hint="eastAsia"/>
                <w:szCs w:val="21"/>
              </w:rPr>
              <w:t>方法</w:t>
            </w:r>
            <w:proofErr w:type="gramStart"/>
            <w:r>
              <w:rPr>
                <w:rFonts w:ascii="宋体" w:hAnsi="宋体" w:hint="eastAsia"/>
                <w:szCs w:val="21"/>
              </w:rPr>
              <w:t>一</w:t>
            </w:r>
            <w:proofErr w:type="gramEnd"/>
            <w:r>
              <w:rPr>
                <w:rFonts w:ascii="宋体" w:hAnsi="宋体" w:hint="eastAsia"/>
                <w:szCs w:val="21"/>
              </w:rPr>
              <w:t>：招标人可以参照《建设工程监理与相关服务收费管理规定》（</w:t>
            </w:r>
            <w:proofErr w:type="gramStart"/>
            <w:r>
              <w:rPr>
                <w:rFonts w:ascii="宋体" w:hAnsi="宋体" w:hint="eastAsia"/>
                <w:szCs w:val="21"/>
              </w:rPr>
              <w:t>发改价格</w:t>
            </w:r>
            <w:proofErr w:type="gramEnd"/>
            <w:r>
              <w:rPr>
                <w:rFonts w:ascii="宋体" w:hAnsi="宋体" w:hint="eastAsia"/>
                <w:szCs w:val="21"/>
              </w:rPr>
              <w:t>［2007］第670号文 ）的施工监理服务收费基准价确定招标期望价格（最高投标限价）。</w:t>
            </w:r>
          </w:p>
          <w:p w:rsidR="008C71E7" w:rsidRDefault="008C71E7" w:rsidP="000C3F3D">
            <w:pPr>
              <w:rPr>
                <w:rFonts w:ascii="宋体" w:hAnsi="宋体"/>
                <w:szCs w:val="21"/>
              </w:rPr>
            </w:pPr>
            <w:r>
              <w:rPr>
                <w:rFonts w:ascii="宋体" w:hAnsi="宋体" w:hint="eastAsia"/>
                <w:szCs w:val="21"/>
              </w:rPr>
              <w:t>（1）各有效投标报价的算术平均值为A；</w:t>
            </w:r>
          </w:p>
          <w:p w:rsidR="008C71E7" w:rsidRDefault="008C71E7" w:rsidP="000C3F3D">
            <w:pPr>
              <w:rPr>
                <w:rFonts w:ascii="宋体" w:hAnsi="宋体"/>
                <w:szCs w:val="21"/>
              </w:rPr>
            </w:pPr>
            <w:r>
              <w:rPr>
                <w:rFonts w:ascii="宋体" w:hAnsi="宋体" w:hint="eastAsia"/>
                <w:szCs w:val="21"/>
              </w:rPr>
              <w:t>（2）招标人确定的招标期望值为B；</w:t>
            </w:r>
          </w:p>
          <w:p w:rsidR="008C71E7" w:rsidRDefault="008C71E7" w:rsidP="000C3F3D">
            <w:pPr>
              <w:rPr>
                <w:rFonts w:ascii="宋体" w:hAnsi="宋体"/>
                <w:szCs w:val="21"/>
              </w:rPr>
            </w:pPr>
            <w:r>
              <w:rPr>
                <w:rFonts w:ascii="宋体" w:hAnsi="宋体" w:hint="eastAsia"/>
                <w:szCs w:val="21"/>
              </w:rPr>
              <w:t>（3）权重系数为K，K值在投标文件开启（解密）前由随机抽取的投标人代表随机抽取确定。K值取值范围为10%、15%、20%、25%、30%；</w:t>
            </w:r>
          </w:p>
          <w:p w:rsidR="008C71E7" w:rsidRDefault="008C71E7" w:rsidP="000C3F3D">
            <w:pPr>
              <w:rPr>
                <w:rFonts w:ascii="宋体" w:hAnsi="宋体"/>
                <w:szCs w:val="21"/>
              </w:rPr>
            </w:pPr>
            <w:r>
              <w:rPr>
                <w:rFonts w:ascii="宋体" w:hAnsi="宋体" w:hint="eastAsia"/>
                <w:szCs w:val="21"/>
              </w:rPr>
              <w:t>（4）评标基准价为C＝A×K＋B×（1－K）</w:t>
            </w:r>
          </w:p>
          <w:p w:rsidR="008C71E7" w:rsidRDefault="008C71E7" w:rsidP="000C3F3D">
            <w:pPr>
              <w:rPr>
                <w:rFonts w:ascii="宋体" w:hAnsi="宋体"/>
                <w:szCs w:val="21"/>
              </w:rPr>
            </w:pPr>
            <w:r>
              <w:rPr>
                <w:rFonts w:ascii="宋体" w:hAnsi="宋体" w:hint="eastAsia"/>
                <w:szCs w:val="21"/>
              </w:rPr>
              <w:t>□</w:t>
            </w:r>
            <w:r>
              <w:rPr>
                <w:rFonts w:ascii="宋体" w:hAnsi="宋体"/>
                <w:szCs w:val="21"/>
              </w:rPr>
              <w:t xml:space="preserve"> </w:t>
            </w:r>
            <w:r>
              <w:rPr>
                <w:rFonts w:ascii="宋体" w:hAnsi="宋体" w:hint="eastAsia"/>
                <w:szCs w:val="21"/>
              </w:rPr>
              <w:t>方法二：以通过初步评审的投标文件的投标报价算术平均值为A，评标基准价＝A×K，K值在开标前由投标人推选的代表随机抽取确定，K值的取值范围为96%－100%。</w:t>
            </w:r>
          </w:p>
          <w:p w:rsidR="008C71E7" w:rsidRDefault="008C71E7" w:rsidP="000C3F3D">
            <w:pPr>
              <w:rPr>
                <w:rFonts w:ascii="宋体" w:hAnsi="宋体"/>
                <w:szCs w:val="21"/>
              </w:rPr>
            </w:pPr>
            <w:r>
              <w:rPr>
                <w:rFonts w:ascii="宋体" w:hAnsi="宋体" w:hint="eastAsia"/>
                <w:szCs w:val="21"/>
              </w:rPr>
              <w:t>说明：</w:t>
            </w:r>
          </w:p>
          <w:p w:rsidR="008C71E7" w:rsidRDefault="008C71E7" w:rsidP="000C3F3D">
            <w:pPr>
              <w:ind w:firstLineChars="150" w:firstLine="315"/>
              <w:rPr>
                <w:rFonts w:ascii="宋体" w:hAnsi="宋体"/>
                <w:szCs w:val="21"/>
              </w:rPr>
            </w:pPr>
            <w:r>
              <w:rPr>
                <w:rFonts w:ascii="宋体" w:hAnsi="宋体" w:hint="eastAsia"/>
                <w:szCs w:val="21"/>
              </w:rPr>
              <w:t>1、计算算术平均值A时，若7≤有效投标文件&lt;10家时，应去掉其中的一个</w:t>
            </w:r>
            <w:proofErr w:type="gramStart"/>
            <w:r>
              <w:rPr>
                <w:rFonts w:ascii="宋体" w:hAnsi="宋体" w:hint="eastAsia"/>
                <w:szCs w:val="21"/>
              </w:rPr>
              <w:t>最</w:t>
            </w:r>
            <w:proofErr w:type="gramEnd"/>
            <w:r>
              <w:rPr>
                <w:rFonts w:ascii="宋体" w:hAnsi="宋体" w:hint="eastAsia"/>
                <w:szCs w:val="21"/>
              </w:rPr>
              <w:t>高价和一个最低价；若有效投标文件≥1 0家，应去掉其中的两个</w:t>
            </w:r>
            <w:proofErr w:type="gramStart"/>
            <w:r>
              <w:rPr>
                <w:rFonts w:ascii="宋体" w:hAnsi="宋体" w:hint="eastAsia"/>
                <w:szCs w:val="21"/>
              </w:rPr>
              <w:t>最</w:t>
            </w:r>
            <w:proofErr w:type="gramEnd"/>
            <w:r>
              <w:rPr>
                <w:rFonts w:ascii="宋体" w:hAnsi="宋体" w:hint="eastAsia"/>
                <w:szCs w:val="21"/>
              </w:rPr>
              <w:t>高价和两个最低价。</w:t>
            </w:r>
          </w:p>
          <w:p w:rsidR="008C71E7" w:rsidRDefault="008C71E7" w:rsidP="000C3F3D">
            <w:pPr>
              <w:ind w:firstLineChars="150" w:firstLine="315"/>
              <w:rPr>
                <w:rFonts w:ascii="宋体" w:hAnsi="宋体"/>
                <w:szCs w:val="21"/>
              </w:rPr>
            </w:pPr>
            <w:r>
              <w:rPr>
                <w:rFonts w:ascii="宋体" w:hAnsi="宋体" w:hint="eastAsia"/>
                <w:szCs w:val="21"/>
              </w:rPr>
              <w:t>2、评标委员会在评标报告签字后，除评标过程中的计算错误外，上述方法的评标基准价不因招投标当事人质疑、投诉以及其他任何情形而改变。</w:t>
            </w:r>
          </w:p>
        </w:tc>
      </w:tr>
      <w:tr w:rsidR="008C71E7" w:rsidTr="008C71E7">
        <w:tc>
          <w:tcPr>
            <w:tcW w:w="1809" w:type="dxa"/>
            <w:gridSpan w:val="2"/>
            <w:tcBorders>
              <w:top w:val="nil"/>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szCs w:val="21"/>
              </w:rPr>
            </w:pPr>
            <w:r>
              <w:rPr>
                <w:rFonts w:ascii="宋体" w:hAnsi="宋体"/>
                <w:b/>
                <w:szCs w:val="21"/>
              </w:rPr>
              <w:t>条款号</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szCs w:val="21"/>
              </w:rPr>
            </w:pPr>
            <w:r>
              <w:rPr>
                <w:rFonts w:ascii="宋体" w:hAnsi="宋体"/>
                <w:b/>
                <w:szCs w:val="21"/>
              </w:rPr>
              <w:t>评分因素</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szCs w:val="21"/>
              </w:rPr>
            </w:pPr>
            <w:r>
              <w:rPr>
                <w:rFonts w:ascii="宋体" w:hAnsi="宋体"/>
                <w:b/>
                <w:szCs w:val="21"/>
              </w:rPr>
              <w:t>评分标准</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b/>
                <w:color w:val="000000"/>
                <w:szCs w:val="21"/>
              </w:rPr>
            </w:pPr>
            <w:r>
              <w:rPr>
                <w:rFonts w:ascii="宋体" w:hAnsi="宋体" w:hint="eastAsia"/>
                <w:b/>
                <w:color w:val="000000"/>
                <w:szCs w:val="21"/>
              </w:rPr>
              <w:t>分值</w:t>
            </w:r>
          </w:p>
        </w:tc>
      </w:tr>
      <w:tr w:rsidR="008C71E7" w:rsidTr="008C71E7">
        <w:trPr>
          <w:trHeight w:val="446"/>
        </w:trPr>
        <w:tc>
          <w:tcPr>
            <w:tcW w:w="900" w:type="dxa"/>
            <w:vMerge w:val="restart"/>
            <w:tcBorders>
              <w:top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szCs w:val="21"/>
              </w:rPr>
            </w:pPr>
            <w:r>
              <w:rPr>
                <w:rFonts w:ascii="宋体" w:hAnsi="宋体" w:hint="eastAsia"/>
                <w:szCs w:val="21"/>
              </w:rPr>
              <w:t>2.2.3</w:t>
            </w:r>
          </w:p>
        </w:tc>
        <w:tc>
          <w:tcPr>
            <w:tcW w:w="3461" w:type="dxa"/>
            <w:gridSpan w:val="3"/>
            <w:tcBorders>
              <w:top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b/>
                <w:szCs w:val="21"/>
              </w:rPr>
            </w:pPr>
            <w:r>
              <w:rPr>
                <w:rFonts w:ascii="宋体" w:hAnsi="宋体" w:hint="eastAsia"/>
                <w:b/>
                <w:szCs w:val="21"/>
              </w:rPr>
              <w:t>投标报价</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320" w:lineRule="exact"/>
              <w:ind w:firstLineChars="100" w:firstLine="210"/>
              <w:textAlignment w:val="center"/>
              <w:rPr>
                <w:rFonts w:ascii="宋体" w:hAnsi="宋体"/>
                <w:szCs w:val="21"/>
              </w:rPr>
            </w:pPr>
            <w:r>
              <w:rPr>
                <w:rFonts w:ascii="宋体" w:hAnsi="宋体" w:hint="eastAsia"/>
                <w:szCs w:val="21"/>
              </w:rPr>
              <w:t>投标报价等于评标基准价的得满分；偏离评标基准价的，投标报价每高于评</w:t>
            </w:r>
            <w:r>
              <w:rPr>
                <w:rFonts w:ascii="宋体" w:hAnsi="宋体" w:hint="eastAsia"/>
                <w:szCs w:val="21"/>
              </w:rPr>
              <w:lastRenderedPageBreak/>
              <w:t>标基准价1%扣</w:t>
            </w:r>
            <w:r>
              <w:rPr>
                <w:rFonts w:ascii="宋体" w:hAnsi="宋体" w:hint="eastAsia"/>
                <w:szCs w:val="21"/>
                <w:u w:val="single"/>
              </w:rPr>
              <w:t xml:space="preserve"> 0.2 </w:t>
            </w:r>
            <w:r>
              <w:rPr>
                <w:rFonts w:ascii="宋体" w:hAnsi="宋体" w:hint="eastAsia"/>
                <w:szCs w:val="21"/>
              </w:rPr>
              <w:t>分，投标报价每低于评标基准价1%扣</w:t>
            </w:r>
            <w:r>
              <w:rPr>
                <w:rFonts w:ascii="宋体" w:hAnsi="宋体" w:hint="eastAsia"/>
                <w:szCs w:val="21"/>
                <w:u w:val="single"/>
              </w:rPr>
              <w:t>0.1</w:t>
            </w:r>
            <w:r>
              <w:rPr>
                <w:rFonts w:ascii="宋体" w:hAnsi="宋体" w:hint="eastAsia"/>
                <w:szCs w:val="21"/>
              </w:rPr>
              <w:t>分，偏离不足1%的，用插入法计算。</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lastRenderedPageBreak/>
              <w:t>35</w:t>
            </w:r>
          </w:p>
        </w:tc>
      </w:tr>
      <w:tr w:rsidR="008C71E7" w:rsidTr="008C71E7">
        <w:trPr>
          <w:trHeight w:val="446"/>
        </w:trPr>
        <w:tc>
          <w:tcPr>
            <w:tcW w:w="900" w:type="dxa"/>
            <w:vMerge/>
            <w:tcBorders>
              <w:top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szCs w:val="21"/>
              </w:rPr>
            </w:pPr>
          </w:p>
        </w:tc>
        <w:tc>
          <w:tcPr>
            <w:tcW w:w="8208" w:type="dxa"/>
            <w:gridSpan w:val="5"/>
            <w:tcBorders>
              <w:top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b/>
                <w:color w:val="000000"/>
                <w:szCs w:val="21"/>
              </w:rPr>
            </w:pPr>
            <w:r>
              <w:rPr>
                <w:rFonts w:ascii="宋体" w:hAnsi="宋体" w:hint="eastAsia"/>
                <w:b/>
                <w:szCs w:val="21"/>
              </w:rPr>
              <w:t>技术标</w:t>
            </w:r>
          </w:p>
        </w:tc>
      </w:tr>
      <w:tr w:rsidR="008C71E7" w:rsidTr="008C71E7">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tcBorders>
              <w:top w:val="single" w:sz="4" w:space="0" w:color="auto"/>
              <w:bottom w:val="single" w:sz="4" w:space="0" w:color="auto"/>
              <w:right w:val="single" w:sz="4" w:space="0" w:color="auto"/>
            </w:tcBorders>
            <w:vAlign w:val="center"/>
          </w:tcPr>
          <w:p w:rsidR="008C71E7" w:rsidRDefault="008C71E7" w:rsidP="000C3F3D">
            <w:pPr>
              <w:spacing w:line="320" w:lineRule="exact"/>
              <w:jc w:val="center"/>
              <w:textAlignment w:val="center"/>
              <w:rPr>
                <w:rFonts w:ascii="宋体" w:hAnsi="宋体"/>
                <w:color w:val="000000"/>
                <w:szCs w:val="21"/>
              </w:rPr>
            </w:pPr>
          </w:p>
        </w:tc>
        <w:tc>
          <w:tcPr>
            <w:tcW w:w="7200" w:type="dxa"/>
            <w:gridSpan w:val="3"/>
            <w:tcBorders>
              <w:top w:val="single" w:sz="4" w:space="0" w:color="auto"/>
              <w:left w:val="single" w:sz="4" w:space="0" w:color="auto"/>
              <w:bottom w:val="single" w:sz="4" w:space="0" w:color="auto"/>
              <w:right w:val="single" w:sz="4" w:space="0" w:color="auto"/>
            </w:tcBorders>
            <w:vAlign w:val="center"/>
          </w:tcPr>
          <w:p w:rsidR="008C71E7" w:rsidRDefault="008C71E7" w:rsidP="000C3F3D">
            <w:pPr>
              <w:jc w:val="left"/>
            </w:pPr>
            <w:r>
              <w:rPr>
                <w:rFonts w:hint="eastAsia"/>
              </w:rPr>
              <w:t>1</w:t>
            </w:r>
            <w:r>
              <w:rPr>
                <w:rFonts w:hint="eastAsia"/>
              </w:rPr>
              <w:t>、评标委员会按下列评分因素和评分标准对监理大纲进行评审。</w:t>
            </w:r>
            <w:r>
              <w:rPr>
                <w:rFonts w:hint="eastAsia"/>
              </w:rPr>
              <w:t xml:space="preserve"> </w:t>
            </w:r>
          </w:p>
          <w:p w:rsidR="008C71E7" w:rsidRDefault="008C71E7" w:rsidP="000C3F3D">
            <w:pPr>
              <w:jc w:val="left"/>
            </w:pPr>
            <w:r>
              <w:rPr>
                <w:rFonts w:hint="eastAsia"/>
              </w:rPr>
              <w:t>2</w:t>
            </w:r>
            <w:r>
              <w:rPr>
                <w:rFonts w:hint="eastAsia"/>
              </w:rPr>
              <w:t>、在监理评标中，监理大纲实得分必须达到满分的</w:t>
            </w:r>
            <w:r>
              <w:rPr>
                <w:rFonts w:hint="eastAsia"/>
              </w:rPr>
              <w:t>70%</w:t>
            </w:r>
            <w:r>
              <w:rPr>
                <w:rFonts w:hint="eastAsia"/>
              </w:rPr>
              <w:t>（含本数）以上，否则，该监理大纲视为不可行，评委认为不可行的监理大纲在正式定标前应请投标人进行答辩，然后再下结论。</w:t>
            </w:r>
          </w:p>
          <w:p w:rsidR="008C71E7" w:rsidRDefault="008C71E7" w:rsidP="000C3F3D">
            <w:pPr>
              <w:jc w:val="left"/>
            </w:pPr>
            <w:r>
              <w:rPr>
                <w:rFonts w:hint="eastAsia"/>
              </w:rPr>
              <w:t>3</w:t>
            </w:r>
            <w:r>
              <w:rPr>
                <w:rFonts w:hint="eastAsia"/>
              </w:rPr>
              <w:t>、监理大纲总</w:t>
            </w:r>
            <w:r w:rsidRPr="008C71E7">
              <w:rPr>
                <w:rFonts w:hint="eastAsia"/>
              </w:rPr>
              <w:t>页数不得超过</w:t>
            </w:r>
            <w:r w:rsidRPr="008C71E7">
              <w:rPr>
                <w:rFonts w:hint="eastAsia"/>
                <w:u w:val="single"/>
              </w:rPr>
              <w:t>300</w:t>
            </w:r>
            <w:r w:rsidRPr="008C71E7">
              <w:rPr>
                <w:rFonts w:hint="eastAsia"/>
                <w:u w:val="single"/>
              </w:rPr>
              <w:t>页</w:t>
            </w:r>
            <w:r w:rsidRPr="008C71E7">
              <w:rPr>
                <w:rFonts w:hint="eastAsia"/>
              </w:rPr>
              <w:t>（正文所用文字采用“宋体”四号“常规”字</w:t>
            </w:r>
            <w:r w:rsidRPr="008C71E7">
              <w:rPr>
                <w:rFonts w:hint="eastAsia"/>
              </w:rPr>
              <w:t>(</w:t>
            </w:r>
            <w:r w:rsidRPr="008C71E7">
              <w:rPr>
                <w:rFonts w:hint="eastAsia"/>
              </w:rPr>
              <w:t>黑色</w:t>
            </w:r>
            <w:r w:rsidRPr="008C71E7">
              <w:rPr>
                <w:rFonts w:hint="eastAsia"/>
              </w:rPr>
              <w:t>)</w:t>
            </w:r>
            <w:r w:rsidRPr="008C71E7">
              <w:rPr>
                <w:rFonts w:hint="eastAsia"/>
              </w:rPr>
              <w:t>，大、小标题所用文字采用“</w:t>
            </w:r>
            <w:r>
              <w:rPr>
                <w:rFonts w:hint="eastAsia"/>
              </w:rPr>
              <w:t>宋体”三号“加粗”字</w:t>
            </w:r>
            <w:r>
              <w:rPr>
                <w:rFonts w:hint="eastAsia"/>
              </w:rPr>
              <w:t>(</w:t>
            </w:r>
            <w:r>
              <w:rPr>
                <w:rFonts w:hint="eastAsia"/>
              </w:rPr>
              <w:t>黑色</w:t>
            </w:r>
            <w:r>
              <w:rPr>
                <w:rFonts w:hint="eastAsia"/>
              </w:rPr>
              <w:t>)</w:t>
            </w:r>
            <w:r>
              <w:rPr>
                <w:rFonts w:hint="eastAsia"/>
              </w:rPr>
              <w:t>，图表中所用文字采用“宋体”、“常规”字</w:t>
            </w:r>
            <w:r>
              <w:rPr>
                <w:rFonts w:hint="eastAsia"/>
              </w:rPr>
              <w:t>(</w:t>
            </w:r>
            <w:r>
              <w:rPr>
                <w:rFonts w:hint="eastAsia"/>
              </w:rPr>
              <w:t>黑色</w:t>
            </w:r>
            <w:r>
              <w:rPr>
                <w:rFonts w:hint="eastAsia"/>
              </w:rPr>
              <w:t>)</w:t>
            </w:r>
            <w:r>
              <w:rPr>
                <w:rFonts w:hint="eastAsia"/>
              </w:rPr>
              <w:t>，四号。段落行间距为单</w:t>
            </w:r>
            <w:proofErr w:type="gramStart"/>
            <w:r>
              <w:rPr>
                <w:rFonts w:hint="eastAsia"/>
              </w:rPr>
              <w:t>倍</w:t>
            </w:r>
            <w:proofErr w:type="gramEnd"/>
            <w:r>
              <w:rPr>
                <w:rFonts w:hint="eastAsia"/>
              </w:rPr>
              <w:t>行间距。）</w:t>
            </w:r>
          </w:p>
        </w:tc>
      </w:tr>
      <w:tr w:rsidR="008C71E7" w:rsidTr="008C71E7">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val="restart"/>
            <w:tcBorders>
              <w:top w:val="single" w:sz="4" w:space="0" w:color="auto"/>
              <w:bottom w:val="single" w:sz="4" w:space="0" w:color="auto"/>
              <w:right w:val="single" w:sz="4" w:space="0" w:color="auto"/>
            </w:tcBorders>
            <w:vAlign w:val="center"/>
          </w:tcPr>
          <w:p w:rsidR="008C71E7" w:rsidRDefault="008C71E7" w:rsidP="000C3F3D">
            <w:pPr>
              <w:spacing w:line="320" w:lineRule="exact"/>
              <w:jc w:val="center"/>
              <w:textAlignment w:val="center"/>
              <w:rPr>
                <w:rFonts w:ascii="宋体" w:hAnsi="宋体"/>
                <w:color w:val="000000"/>
                <w:szCs w:val="21"/>
              </w:rPr>
            </w:pPr>
            <w:r>
              <w:rPr>
                <w:rFonts w:ascii="宋体" w:hAnsi="宋体" w:hint="eastAsia"/>
                <w:color w:val="000000"/>
                <w:szCs w:val="21"/>
              </w:rPr>
              <w:t>监理大纲</w:t>
            </w: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监理大纲基本要求</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监理大纲符合基本要求，项目目标、范围、任务和依据明确、具体符合招标文件要求的</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3分</w:t>
            </w:r>
          </w:p>
        </w:tc>
      </w:tr>
      <w:tr w:rsidR="008C71E7" w:rsidTr="008C71E7">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项目监理机构成员职责任务明确</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1分</w:t>
            </w:r>
          </w:p>
        </w:tc>
      </w:tr>
      <w:tr w:rsidR="008C71E7" w:rsidTr="008C71E7">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监理工作制度</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1分</w:t>
            </w:r>
          </w:p>
        </w:tc>
      </w:tr>
      <w:tr w:rsidR="008C71E7" w:rsidTr="008C71E7">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质量控制的措施</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2分</w:t>
            </w:r>
          </w:p>
        </w:tc>
      </w:tr>
      <w:tr w:rsidR="008C71E7" w:rsidTr="008C71E7">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进度控制的措施</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2分</w:t>
            </w:r>
          </w:p>
        </w:tc>
      </w:tr>
      <w:tr w:rsidR="008C71E7" w:rsidTr="008C71E7">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投资控制的措施</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2分</w:t>
            </w:r>
          </w:p>
        </w:tc>
      </w:tr>
      <w:tr w:rsidR="008C71E7" w:rsidTr="008C71E7">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安全文明生产管理措施</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1分</w:t>
            </w:r>
          </w:p>
        </w:tc>
      </w:tr>
      <w:tr w:rsidR="008C71E7" w:rsidTr="008C71E7">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缺陷责任期的监理措施</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1分</w:t>
            </w:r>
          </w:p>
        </w:tc>
      </w:tr>
      <w:tr w:rsidR="008C71E7" w:rsidTr="008C71E7">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合同管理措施</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1分</w:t>
            </w:r>
          </w:p>
        </w:tc>
      </w:tr>
      <w:tr w:rsidR="008C71E7" w:rsidTr="008C71E7">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信息管理措施</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1分</w:t>
            </w:r>
          </w:p>
        </w:tc>
      </w:tr>
      <w:tr w:rsidR="008C71E7" w:rsidTr="008C71E7">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针对本工程特点、技术难点的分析及相应的监理控制措施</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5分</w:t>
            </w:r>
          </w:p>
        </w:tc>
      </w:tr>
      <w:tr w:rsidR="008C71E7" w:rsidTr="008C71E7">
        <w:trPr>
          <w:trHeight w:val="578"/>
        </w:trPr>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val="restart"/>
            <w:tcBorders>
              <w:top w:val="single" w:sz="4" w:space="0" w:color="auto"/>
              <w:bottom w:val="single" w:sz="4" w:space="0" w:color="auto"/>
              <w:right w:val="single" w:sz="4" w:space="0" w:color="auto"/>
            </w:tcBorders>
            <w:vAlign w:val="center"/>
          </w:tcPr>
          <w:p w:rsidR="008C71E7" w:rsidRDefault="008C71E7" w:rsidP="000C3F3D">
            <w:pPr>
              <w:spacing w:line="320" w:lineRule="exact"/>
              <w:jc w:val="center"/>
              <w:textAlignment w:val="center"/>
              <w:rPr>
                <w:rFonts w:ascii="宋体" w:hAnsi="宋体"/>
                <w:color w:val="000000"/>
                <w:szCs w:val="21"/>
              </w:rPr>
            </w:pPr>
            <w:r>
              <w:rPr>
                <w:rFonts w:ascii="宋体" w:hAnsi="宋体" w:hint="eastAsia"/>
                <w:color w:val="000000"/>
                <w:szCs w:val="21"/>
              </w:rPr>
              <w:t>总监素质</w:t>
            </w:r>
          </w:p>
        </w:tc>
        <w:tc>
          <w:tcPr>
            <w:tcW w:w="245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监理执业资格</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textAlignment w:val="center"/>
              <w:rPr>
                <w:rFonts w:ascii="宋体" w:hAnsi="宋体"/>
                <w:color w:val="000000"/>
                <w:szCs w:val="21"/>
              </w:rPr>
            </w:pPr>
            <w:r>
              <w:rPr>
                <w:rFonts w:ascii="宋体" w:hAnsi="宋体" w:hint="eastAsia"/>
                <w:color w:val="000000"/>
                <w:szCs w:val="21"/>
              </w:rPr>
              <w:t>具备国家注册监理工程师资格得2分；</w:t>
            </w:r>
            <w:proofErr w:type="gramStart"/>
            <w:r>
              <w:rPr>
                <w:rFonts w:ascii="宋体" w:hAnsi="宋体" w:hint="eastAsia"/>
                <w:color w:val="000000"/>
                <w:szCs w:val="21"/>
              </w:rPr>
              <w:t>具备省</w:t>
            </w:r>
            <w:proofErr w:type="gramEnd"/>
            <w:r>
              <w:rPr>
                <w:rFonts w:ascii="宋体" w:hAnsi="宋体" w:hint="eastAsia"/>
                <w:color w:val="000000"/>
                <w:szCs w:val="21"/>
              </w:rPr>
              <w:t>监理工程师资格得1分；具备国家注册造价工程师得0.5分，具备国家注册一级建造师资格得0.5分</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3分</w:t>
            </w:r>
          </w:p>
        </w:tc>
      </w:tr>
      <w:tr w:rsidR="008C71E7" w:rsidTr="008C71E7">
        <w:trPr>
          <w:trHeight w:val="497"/>
        </w:trPr>
        <w:tc>
          <w:tcPr>
            <w:tcW w:w="900" w:type="dxa"/>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top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职称</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textAlignment w:val="center"/>
              <w:rPr>
                <w:rFonts w:ascii="宋体" w:hAnsi="宋体"/>
                <w:b/>
                <w:color w:val="000000"/>
                <w:szCs w:val="21"/>
              </w:rPr>
            </w:pPr>
            <w:r>
              <w:rPr>
                <w:rFonts w:ascii="宋体" w:hAnsi="宋体" w:hint="eastAsia"/>
                <w:color w:val="000000"/>
                <w:szCs w:val="21"/>
              </w:rPr>
              <w:t>具备工程建设类高级职称及以上职称得2分；具备工程建设类中级职称或非工程建设类高级职称得1分。</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2分</w:t>
            </w:r>
          </w:p>
        </w:tc>
      </w:tr>
      <w:tr w:rsidR="008C71E7" w:rsidTr="008C71E7">
        <w:trPr>
          <w:trHeight w:val="449"/>
        </w:trPr>
        <w:tc>
          <w:tcPr>
            <w:tcW w:w="900" w:type="dxa"/>
            <w:vMerge/>
            <w:tcBorders>
              <w:top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top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Pr="008C71E7" w:rsidRDefault="008C71E7" w:rsidP="000C3F3D">
            <w:pPr>
              <w:spacing w:line="440" w:lineRule="exact"/>
              <w:jc w:val="center"/>
              <w:textAlignment w:val="center"/>
              <w:rPr>
                <w:rFonts w:ascii="宋体" w:hAnsi="宋体"/>
                <w:color w:val="000000"/>
                <w:szCs w:val="21"/>
              </w:rPr>
            </w:pPr>
            <w:r w:rsidRPr="008C71E7">
              <w:rPr>
                <w:rFonts w:ascii="宋体" w:hAnsi="宋体" w:hint="eastAsia"/>
                <w:color w:val="000000"/>
                <w:szCs w:val="21"/>
              </w:rPr>
              <w:t>类似业绩</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Pr="008C71E7" w:rsidRDefault="008C71E7" w:rsidP="000C3F3D">
            <w:pPr>
              <w:spacing w:line="440" w:lineRule="exact"/>
              <w:jc w:val="left"/>
              <w:textAlignment w:val="center"/>
              <w:rPr>
                <w:rFonts w:ascii="宋体" w:hAnsi="宋体"/>
                <w:szCs w:val="21"/>
              </w:rPr>
            </w:pPr>
            <w:r w:rsidRPr="008C71E7">
              <w:rPr>
                <w:rFonts w:ascii="宋体" w:hAnsi="宋体" w:hint="eastAsia"/>
                <w:szCs w:val="21"/>
                <w:u w:val="single"/>
              </w:rPr>
              <w:t>2015</w:t>
            </w:r>
            <w:r w:rsidRPr="008C71E7">
              <w:rPr>
                <w:rFonts w:ascii="宋体" w:hAnsi="宋体"/>
                <w:szCs w:val="21"/>
                <w:u w:val="single"/>
              </w:rPr>
              <w:t>年</w:t>
            </w:r>
            <w:r w:rsidRPr="008C71E7">
              <w:rPr>
                <w:rFonts w:ascii="宋体" w:hAnsi="宋体" w:hint="eastAsia"/>
                <w:szCs w:val="21"/>
                <w:u w:val="single"/>
              </w:rPr>
              <w:t>4</w:t>
            </w:r>
            <w:r w:rsidRPr="008C71E7">
              <w:rPr>
                <w:rFonts w:ascii="宋体" w:hAnsi="宋体" w:hint="eastAsia"/>
                <w:szCs w:val="21"/>
              </w:rPr>
              <w:t>月以来承担过类似业绩的得2分，</w:t>
            </w:r>
            <w:r w:rsidRPr="008C71E7">
              <w:rPr>
                <w:rFonts w:ascii="宋体" w:hAnsi="宋体"/>
                <w:szCs w:val="21"/>
              </w:rPr>
              <w:t>类似业绩的认定标准为：</w:t>
            </w:r>
            <w:r w:rsidRPr="008C71E7">
              <w:rPr>
                <w:rFonts w:ascii="宋体" w:hAnsi="宋体" w:hint="eastAsia"/>
                <w:szCs w:val="21"/>
              </w:rPr>
              <w:t>单项</w:t>
            </w:r>
            <w:r w:rsidRPr="008C71E7">
              <w:rPr>
                <w:rFonts w:ascii="宋体" w:hAnsi="宋体"/>
                <w:szCs w:val="21"/>
              </w:rPr>
              <w:t>合同</w:t>
            </w:r>
            <w:r w:rsidRPr="008C71E7">
              <w:rPr>
                <w:rFonts w:ascii="宋体" w:hAnsi="宋体" w:hint="eastAsia"/>
                <w:szCs w:val="21"/>
              </w:rPr>
              <w:t>造价2</w:t>
            </w:r>
            <w:r w:rsidR="008C5B9D">
              <w:rPr>
                <w:rFonts w:ascii="宋体" w:hAnsi="宋体" w:hint="eastAsia"/>
                <w:szCs w:val="21"/>
              </w:rPr>
              <w:t>2</w:t>
            </w:r>
            <w:r w:rsidRPr="008C71E7">
              <w:rPr>
                <w:rFonts w:ascii="宋体" w:hAnsi="宋体" w:hint="eastAsia"/>
                <w:szCs w:val="21"/>
              </w:rPr>
              <w:t>00万元及以上市政工程。</w:t>
            </w:r>
          </w:p>
          <w:p w:rsidR="008C71E7" w:rsidRPr="008C71E7" w:rsidRDefault="008C71E7" w:rsidP="000C3F3D">
            <w:pPr>
              <w:spacing w:line="440" w:lineRule="exact"/>
              <w:jc w:val="left"/>
              <w:textAlignment w:val="center"/>
              <w:rPr>
                <w:rFonts w:ascii="宋体" w:hAnsi="宋体"/>
                <w:szCs w:val="21"/>
              </w:rPr>
            </w:pPr>
            <w:r w:rsidRPr="008C71E7">
              <w:rPr>
                <w:rFonts w:ascii="宋体" w:hAnsi="宋体" w:hint="eastAsia"/>
                <w:szCs w:val="21"/>
              </w:rPr>
              <w:t>类似业绩以中标通知书、合同及竣工验收证明原件扫描件为准；时间以竣工验收证明为准，面积、造价以合同为准。</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2分</w:t>
            </w:r>
          </w:p>
        </w:tc>
      </w:tr>
      <w:tr w:rsidR="008C71E7" w:rsidTr="008C71E7">
        <w:trPr>
          <w:trHeight w:val="461"/>
        </w:trPr>
        <w:tc>
          <w:tcPr>
            <w:tcW w:w="900" w:type="dxa"/>
            <w:vMerge/>
            <w:tcBorders>
              <w:top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val="restart"/>
            <w:tcBorders>
              <w:top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项目监理机构配置与服务承诺</w:t>
            </w: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人员数量</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left"/>
              <w:textAlignment w:val="center"/>
              <w:rPr>
                <w:rFonts w:ascii="宋体" w:hAnsi="宋体"/>
                <w:szCs w:val="21"/>
              </w:rPr>
            </w:pPr>
            <w:r>
              <w:rPr>
                <w:rFonts w:ascii="宋体" w:hAnsi="宋体" w:hint="eastAsia"/>
                <w:szCs w:val="21"/>
              </w:rPr>
              <w:t>配备合理，满足扬州市人员配备最低标准有关规定和招标文件要求的得3分。</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3分</w:t>
            </w:r>
          </w:p>
        </w:tc>
      </w:tr>
      <w:tr w:rsidR="008C71E7" w:rsidTr="008C71E7">
        <w:trPr>
          <w:trHeight w:val="460"/>
        </w:trPr>
        <w:tc>
          <w:tcPr>
            <w:tcW w:w="900" w:type="dxa"/>
            <w:vMerge/>
            <w:tcBorders>
              <w:top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人员专业</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left"/>
              <w:textAlignment w:val="center"/>
              <w:rPr>
                <w:rFonts w:ascii="宋体" w:hAnsi="宋体"/>
                <w:color w:val="000000"/>
                <w:szCs w:val="21"/>
              </w:rPr>
            </w:pPr>
            <w:r>
              <w:rPr>
                <w:rFonts w:ascii="宋体" w:hAnsi="宋体" w:hint="eastAsia"/>
                <w:color w:val="000000"/>
                <w:szCs w:val="21"/>
              </w:rPr>
              <w:t>监理机构配备的人员专业满足招标文件要求的得3分。</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3分</w:t>
            </w:r>
          </w:p>
        </w:tc>
      </w:tr>
      <w:tr w:rsidR="008C71E7" w:rsidTr="008C71E7">
        <w:trPr>
          <w:trHeight w:val="460"/>
        </w:trPr>
        <w:tc>
          <w:tcPr>
            <w:tcW w:w="900" w:type="dxa"/>
            <w:vMerge/>
            <w:tcBorders>
              <w:top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人员结构</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left"/>
              <w:textAlignment w:val="center"/>
              <w:rPr>
                <w:rFonts w:ascii="宋体" w:hAnsi="宋体"/>
                <w:color w:val="000000"/>
                <w:szCs w:val="21"/>
              </w:rPr>
            </w:pPr>
            <w:r>
              <w:rPr>
                <w:rFonts w:ascii="宋体" w:hAnsi="宋体" w:hint="eastAsia"/>
                <w:color w:val="000000"/>
                <w:szCs w:val="21"/>
              </w:rPr>
              <w:t>国家注册监理工程师人数</w:t>
            </w:r>
            <w:proofErr w:type="gramStart"/>
            <w:r>
              <w:rPr>
                <w:rFonts w:ascii="宋体" w:hAnsi="宋体" w:hint="eastAsia"/>
                <w:color w:val="000000"/>
                <w:szCs w:val="21"/>
              </w:rPr>
              <w:t>占现场</w:t>
            </w:r>
            <w:proofErr w:type="gramEnd"/>
            <w:r>
              <w:rPr>
                <w:rFonts w:ascii="宋体" w:hAnsi="宋体" w:hint="eastAsia"/>
                <w:color w:val="000000"/>
                <w:szCs w:val="21"/>
              </w:rPr>
              <w:t>监理人员总数的40%及以上得4分，30%-40%之间的得2分，20%-30%之间的得1分，低于20%不得分；投标人员（总监除外）取得国家注册造价工程师或一级建造师证书的有1人，得1分，最高2分。</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6分</w:t>
            </w:r>
          </w:p>
        </w:tc>
      </w:tr>
      <w:tr w:rsidR="008C71E7" w:rsidTr="008C71E7">
        <w:trPr>
          <w:trHeight w:val="460"/>
        </w:trPr>
        <w:tc>
          <w:tcPr>
            <w:tcW w:w="900" w:type="dxa"/>
            <w:vMerge/>
            <w:tcBorders>
              <w:top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人员职称</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left"/>
              <w:textAlignment w:val="center"/>
              <w:rPr>
                <w:rFonts w:ascii="宋体" w:hAnsi="宋体"/>
                <w:color w:val="000000"/>
                <w:szCs w:val="21"/>
              </w:rPr>
            </w:pPr>
            <w:r>
              <w:rPr>
                <w:rFonts w:ascii="宋体" w:hAnsi="宋体" w:hint="eastAsia"/>
                <w:color w:val="000000"/>
                <w:szCs w:val="21"/>
              </w:rPr>
              <w:t>专业监理工程师具备高级职称的有1人得1分，2分封顶；投标人员中，中级职称比例达到60%及以上的，得2分，40%-60%之间的得1分，40%以下的不得分</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4分</w:t>
            </w:r>
          </w:p>
        </w:tc>
      </w:tr>
      <w:tr w:rsidR="008C71E7" w:rsidTr="008C71E7">
        <w:trPr>
          <w:trHeight w:val="460"/>
        </w:trPr>
        <w:tc>
          <w:tcPr>
            <w:tcW w:w="900" w:type="dxa"/>
            <w:vMerge/>
            <w:tcBorders>
              <w:top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服务承诺</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left"/>
              <w:textAlignment w:val="center"/>
              <w:rPr>
                <w:rFonts w:ascii="宋体" w:hAnsi="宋体"/>
                <w:color w:val="000000"/>
                <w:szCs w:val="21"/>
              </w:rPr>
            </w:pPr>
            <w:r>
              <w:rPr>
                <w:rFonts w:ascii="宋体" w:hAnsi="宋体" w:hint="eastAsia"/>
                <w:color w:val="000000"/>
                <w:szCs w:val="21"/>
              </w:rPr>
              <w:t>承诺内容主要是项目实施阶段项目监理机构人员到位履职、人员素质、特殊专业配套以及项目完成后的跟踪服务等相关事项。评委根据各投标单位承诺结合工程需要按优、良、一般、合格评分，0.5分一档，不超过2分</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2分</w:t>
            </w:r>
          </w:p>
        </w:tc>
      </w:tr>
      <w:tr w:rsidR="008C71E7" w:rsidTr="008C71E7">
        <w:trPr>
          <w:trHeight w:val="460"/>
        </w:trPr>
        <w:tc>
          <w:tcPr>
            <w:tcW w:w="900" w:type="dxa"/>
            <w:vMerge/>
            <w:tcBorders>
              <w:top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1008" w:type="dxa"/>
            <w:gridSpan w:val="2"/>
            <w:vMerge/>
            <w:tcBorders>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总监答辩</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left"/>
              <w:textAlignment w:val="center"/>
              <w:rPr>
                <w:rFonts w:ascii="宋体" w:hAnsi="宋体"/>
                <w:color w:val="000000"/>
                <w:szCs w:val="21"/>
              </w:rPr>
            </w:pPr>
            <w:r>
              <w:rPr>
                <w:rFonts w:ascii="宋体" w:hAnsi="宋体" w:hint="eastAsia"/>
                <w:color w:val="000000"/>
                <w:szCs w:val="21"/>
              </w:rPr>
              <w:t>总监答辩由评标委员会现场命题，采用暗标书面答题的形式进行。答题必须由投标总监亲自闭卷答题，总监因特殊原因不能到场的，经书面请示招标人批准，</w:t>
            </w:r>
            <w:r>
              <w:rPr>
                <w:rFonts w:ascii="宋体" w:hAnsi="宋体" w:hint="eastAsia"/>
                <w:color w:val="000000"/>
                <w:szCs w:val="21"/>
              </w:rPr>
              <w:lastRenderedPageBreak/>
              <w:t>可由总监代表代替。</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lastRenderedPageBreak/>
              <w:t>5分</w:t>
            </w:r>
          </w:p>
        </w:tc>
      </w:tr>
      <w:tr w:rsidR="008C71E7" w:rsidTr="008C71E7">
        <w:tblPrEx>
          <w:tblBorders>
            <w:top w:val="none" w:sz="0" w:space="0" w:color="auto"/>
            <w:left w:val="none" w:sz="0" w:space="0" w:color="auto"/>
            <w:bottom w:val="none" w:sz="0" w:space="0" w:color="auto"/>
            <w:right w:val="none" w:sz="0" w:space="0" w:color="auto"/>
          </w:tblBorders>
        </w:tblPrEx>
        <w:trPr>
          <w:trHeight w:val="255"/>
        </w:trPr>
        <w:tc>
          <w:tcPr>
            <w:tcW w:w="900" w:type="dxa"/>
            <w:vMerge/>
            <w:tcBorders>
              <w:top w:val="single" w:sz="4" w:space="0" w:color="auto"/>
              <w:left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3461" w:type="dxa"/>
            <w:gridSpan w:val="3"/>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320" w:lineRule="exact"/>
              <w:jc w:val="center"/>
              <w:textAlignment w:val="center"/>
              <w:rPr>
                <w:rFonts w:ascii="宋体" w:hAnsi="宋体"/>
                <w:color w:val="000000"/>
                <w:szCs w:val="21"/>
              </w:rPr>
            </w:pPr>
            <w:r>
              <w:rPr>
                <w:rFonts w:ascii="宋体" w:hAnsi="宋体" w:hint="eastAsia"/>
                <w:color w:val="000000"/>
                <w:szCs w:val="21"/>
              </w:rPr>
              <w:t>拟投入现场的设备、检测仪器等</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left"/>
              <w:textAlignment w:val="center"/>
              <w:rPr>
                <w:rFonts w:ascii="宋体" w:hAnsi="宋体"/>
                <w:color w:val="000000"/>
                <w:szCs w:val="21"/>
              </w:rPr>
            </w:pPr>
            <w:r>
              <w:rPr>
                <w:rFonts w:ascii="宋体" w:hAnsi="宋体" w:hint="eastAsia"/>
                <w:color w:val="000000"/>
                <w:szCs w:val="21"/>
              </w:rPr>
              <w:t>本工程应配备有经纬仪、水准仪、回弹仪、摄相机、通讯设备、照相机、电脑等检测设备。</w:t>
            </w:r>
          </w:p>
          <w:p w:rsidR="008C71E7" w:rsidRDefault="008C71E7" w:rsidP="000C3F3D">
            <w:pPr>
              <w:spacing w:line="440" w:lineRule="exact"/>
              <w:jc w:val="left"/>
              <w:textAlignment w:val="center"/>
              <w:rPr>
                <w:rFonts w:ascii="宋体" w:hAnsi="宋体"/>
                <w:color w:val="000000"/>
                <w:szCs w:val="21"/>
              </w:rPr>
            </w:pPr>
            <w:r>
              <w:rPr>
                <w:rFonts w:ascii="宋体" w:hAnsi="宋体" w:hint="eastAsia"/>
                <w:color w:val="000000"/>
                <w:szCs w:val="21"/>
              </w:rPr>
              <w:t>经评委会查证，设备不全的，缺一项扣1分，扣完5分为止。</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5分</w:t>
            </w:r>
          </w:p>
        </w:tc>
      </w:tr>
      <w:tr w:rsidR="008C71E7" w:rsidTr="008C71E7">
        <w:tblPrEx>
          <w:tblBorders>
            <w:top w:val="none" w:sz="0" w:space="0" w:color="auto"/>
            <w:left w:val="none" w:sz="0" w:space="0" w:color="auto"/>
            <w:bottom w:val="none" w:sz="0" w:space="0" w:color="auto"/>
            <w:right w:val="none" w:sz="0" w:space="0" w:color="auto"/>
          </w:tblBorders>
        </w:tblPrEx>
        <w:trPr>
          <w:trHeight w:val="255"/>
        </w:trPr>
        <w:tc>
          <w:tcPr>
            <w:tcW w:w="900" w:type="dxa"/>
            <w:vMerge/>
            <w:tcBorders>
              <w:top w:val="single" w:sz="4" w:space="0" w:color="auto"/>
              <w:left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8208" w:type="dxa"/>
            <w:gridSpan w:val="5"/>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b/>
                <w:color w:val="000000"/>
                <w:szCs w:val="21"/>
              </w:rPr>
            </w:pPr>
            <w:r>
              <w:rPr>
                <w:rFonts w:ascii="宋体" w:hAnsi="宋体" w:hint="eastAsia"/>
                <w:b/>
                <w:color w:val="000000"/>
                <w:szCs w:val="21"/>
              </w:rPr>
              <w:t>信用标</w:t>
            </w:r>
          </w:p>
        </w:tc>
      </w:tr>
      <w:tr w:rsidR="008C71E7" w:rsidTr="008C71E7">
        <w:tblPrEx>
          <w:tblBorders>
            <w:top w:val="none" w:sz="0" w:space="0" w:color="auto"/>
            <w:left w:val="none" w:sz="0" w:space="0" w:color="auto"/>
            <w:bottom w:val="none" w:sz="0" w:space="0" w:color="auto"/>
            <w:right w:val="none" w:sz="0" w:space="0" w:color="auto"/>
          </w:tblBorders>
        </w:tblPrEx>
        <w:trPr>
          <w:trHeight w:val="360"/>
        </w:trPr>
        <w:tc>
          <w:tcPr>
            <w:tcW w:w="900" w:type="dxa"/>
            <w:vMerge/>
            <w:tcBorders>
              <w:top w:val="single" w:sz="4" w:space="0" w:color="auto"/>
              <w:left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3461" w:type="dxa"/>
            <w:gridSpan w:val="3"/>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color w:val="000000"/>
                <w:szCs w:val="21"/>
              </w:rPr>
              <w:t>信用分</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left"/>
              <w:textAlignment w:val="center"/>
              <w:rPr>
                <w:rFonts w:ascii="宋体" w:hAnsi="宋体"/>
                <w:color w:val="000000"/>
                <w:szCs w:val="21"/>
              </w:rPr>
            </w:pPr>
            <w:r>
              <w:rPr>
                <w:rFonts w:ascii="宋体" w:hAnsi="宋体" w:hint="eastAsia"/>
                <w:color w:val="000000"/>
                <w:szCs w:val="21"/>
              </w:rPr>
              <w:t>“信用标”分值的计算公式为：投标企业“信用标”得分＝[企业信用基准分+本企业上年度信用分值/上年度监理企业信用分值最高分×5分]+[个人信用基准分+投标总监上年度信用分值/上年度监理行业个人信用分值最高分×2分]。</w:t>
            </w:r>
          </w:p>
          <w:p w:rsidR="008C71E7" w:rsidRDefault="008C71E7" w:rsidP="000C3F3D">
            <w:pPr>
              <w:spacing w:line="440" w:lineRule="exact"/>
              <w:jc w:val="left"/>
              <w:textAlignment w:val="center"/>
              <w:rPr>
                <w:rFonts w:ascii="宋体" w:hAnsi="宋体"/>
                <w:color w:val="000000"/>
                <w:szCs w:val="21"/>
              </w:rPr>
            </w:pPr>
            <w:r>
              <w:rPr>
                <w:rFonts w:ascii="宋体" w:hAnsi="宋体" w:hint="eastAsia"/>
                <w:color w:val="000000"/>
                <w:szCs w:val="21"/>
              </w:rPr>
              <w:t>公式中企业信用基准分的计算方法：上年度信用评价成果为80分及以上的，可得信用基准分2分，上年度信用分值为60分的，信用基准分为0分，60-80分之间的，按照插值法计算，分值保留小数点后两位，四舍五入。总监个人信用基准分（最高1分）的计算方法仍按《扬州市国有投资项目“三合一”综合评标办法（试行）》（扬建工（2014）28号）执行。</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hint="eastAsia"/>
                <w:color w:val="000000"/>
                <w:szCs w:val="21"/>
              </w:rPr>
              <w:t>10分</w:t>
            </w:r>
          </w:p>
        </w:tc>
      </w:tr>
      <w:tr w:rsidR="008C71E7" w:rsidTr="008C71E7">
        <w:tblPrEx>
          <w:tblBorders>
            <w:top w:val="none" w:sz="0" w:space="0" w:color="auto"/>
            <w:left w:val="none" w:sz="0" w:space="0" w:color="auto"/>
            <w:bottom w:val="none" w:sz="0" w:space="0" w:color="auto"/>
            <w:right w:val="none" w:sz="0" w:space="0" w:color="auto"/>
          </w:tblBorders>
        </w:tblPrEx>
        <w:trPr>
          <w:trHeight w:val="475"/>
        </w:trPr>
        <w:tc>
          <w:tcPr>
            <w:tcW w:w="900" w:type="dxa"/>
            <w:vMerge/>
            <w:tcBorders>
              <w:top w:val="single" w:sz="4" w:space="0" w:color="auto"/>
              <w:left w:val="single" w:sz="4" w:space="0" w:color="auto"/>
              <w:bottom w:val="single" w:sz="4" w:space="0" w:color="auto"/>
              <w:right w:val="single" w:sz="4" w:space="0" w:color="auto"/>
            </w:tcBorders>
          </w:tcPr>
          <w:p w:rsidR="008C71E7" w:rsidRDefault="008C71E7" w:rsidP="000C3F3D">
            <w:pPr>
              <w:spacing w:line="440" w:lineRule="exact"/>
              <w:jc w:val="center"/>
              <w:textAlignment w:val="center"/>
              <w:rPr>
                <w:rFonts w:ascii="宋体" w:hAnsi="宋体"/>
                <w:color w:val="000000"/>
                <w:szCs w:val="21"/>
              </w:rPr>
            </w:pPr>
          </w:p>
        </w:tc>
        <w:tc>
          <w:tcPr>
            <w:tcW w:w="3461" w:type="dxa"/>
            <w:gridSpan w:val="3"/>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color w:val="000000"/>
                <w:szCs w:val="21"/>
              </w:rPr>
              <w:t>……</w:t>
            </w:r>
          </w:p>
        </w:tc>
        <w:tc>
          <w:tcPr>
            <w:tcW w:w="3818"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r>
              <w:rPr>
                <w:rFonts w:ascii="宋体" w:hAnsi="宋体"/>
                <w:color w:val="000000"/>
                <w:szCs w:val="21"/>
              </w:rPr>
              <w:t>……</w:t>
            </w:r>
          </w:p>
        </w:tc>
        <w:tc>
          <w:tcPr>
            <w:tcW w:w="929" w:type="dxa"/>
            <w:tcBorders>
              <w:top w:val="single" w:sz="4" w:space="0" w:color="auto"/>
              <w:left w:val="single" w:sz="4" w:space="0" w:color="auto"/>
              <w:bottom w:val="single" w:sz="4" w:space="0" w:color="auto"/>
              <w:right w:val="single" w:sz="4" w:space="0" w:color="auto"/>
            </w:tcBorders>
            <w:vAlign w:val="center"/>
          </w:tcPr>
          <w:p w:rsidR="008C71E7" w:rsidRDefault="008C71E7" w:rsidP="000C3F3D">
            <w:pPr>
              <w:spacing w:line="440" w:lineRule="exact"/>
              <w:jc w:val="center"/>
              <w:textAlignment w:val="center"/>
              <w:rPr>
                <w:rFonts w:ascii="宋体" w:hAnsi="宋体"/>
                <w:color w:val="000000"/>
                <w:szCs w:val="21"/>
              </w:rPr>
            </w:pPr>
          </w:p>
        </w:tc>
      </w:tr>
    </w:tbl>
    <w:p w:rsidR="00BB1D44" w:rsidRDefault="00BB1D44"/>
    <w:sectPr w:rsidR="00BB1D44" w:rsidSect="00BB1D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1E7" w:rsidRDefault="008C71E7" w:rsidP="008C71E7">
      <w:r>
        <w:separator/>
      </w:r>
    </w:p>
  </w:endnote>
  <w:endnote w:type="continuationSeparator" w:id="0">
    <w:p w:rsidR="008C71E7" w:rsidRDefault="008C71E7" w:rsidP="008C71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1E7" w:rsidRDefault="008C71E7" w:rsidP="008C71E7">
      <w:r>
        <w:separator/>
      </w:r>
    </w:p>
  </w:footnote>
  <w:footnote w:type="continuationSeparator" w:id="0">
    <w:p w:rsidR="008C71E7" w:rsidRDefault="008C71E7" w:rsidP="008C71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1E7"/>
    <w:rsid w:val="0083667A"/>
    <w:rsid w:val="008C5B9D"/>
    <w:rsid w:val="008C71E7"/>
    <w:rsid w:val="00BB1D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E7"/>
    <w:pPr>
      <w:widowControl w:val="0"/>
      <w:jc w:val="both"/>
    </w:pPr>
    <w:rPr>
      <w:rFonts w:ascii="Calibri" w:eastAsia="宋体" w:hAnsi="Calibri" w:cs="Times New Roman"/>
      <w:szCs w:val="24"/>
    </w:rPr>
  </w:style>
  <w:style w:type="paragraph" w:styleId="1">
    <w:name w:val="heading 1"/>
    <w:basedOn w:val="a"/>
    <w:next w:val="a"/>
    <w:link w:val="1Char"/>
    <w:qFormat/>
    <w:rsid w:val="008C71E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C71E7"/>
    <w:pPr>
      <w:keepNext/>
      <w:keepLines/>
      <w:spacing w:before="120" w:after="120" w:line="416" w:lineRule="auto"/>
      <w:outlineLvl w:val="1"/>
    </w:pPr>
    <w:rPr>
      <w:rFonts w:ascii="Arial"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7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C71E7"/>
    <w:rPr>
      <w:sz w:val="18"/>
      <w:szCs w:val="18"/>
    </w:rPr>
  </w:style>
  <w:style w:type="paragraph" w:styleId="a4">
    <w:name w:val="footer"/>
    <w:basedOn w:val="a"/>
    <w:link w:val="Char0"/>
    <w:uiPriority w:val="99"/>
    <w:semiHidden/>
    <w:unhideWhenUsed/>
    <w:rsid w:val="008C7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C71E7"/>
    <w:rPr>
      <w:sz w:val="18"/>
      <w:szCs w:val="18"/>
    </w:rPr>
  </w:style>
  <w:style w:type="character" w:customStyle="1" w:styleId="1Char">
    <w:name w:val="标题 1 Char"/>
    <w:basedOn w:val="a0"/>
    <w:link w:val="1"/>
    <w:rsid w:val="008C71E7"/>
    <w:rPr>
      <w:rFonts w:ascii="Calibri" w:eastAsia="宋体" w:hAnsi="Calibri" w:cs="Times New Roman"/>
      <w:b/>
      <w:bCs/>
      <w:kern w:val="44"/>
      <w:sz w:val="44"/>
      <w:szCs w:val="44"/>
    </w:rPr>
  </w:style>
  <w:style w:type="character" w:customStyle="1" w:styleId="2Char">
    <w:name w:val="标题 2 Char"/>
    <w:basedOn w:val="a0"/>
    <w:link w:val="2"/>
    <w:rsid w:val="008C71E7"/>
    <w:rPr>
      <w:rFonts w:ascii="Arial" w:eastAsia="黑体" w:hAnsi="Arial" w:cs="Times New Roman"/>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2018-05-09T12:23:00Z</dcterms:created>
  <dcterms:modified xsi:type="dcterms:W3CDTF">2018-05-09T12:30:00Z</dcterms:modified>
</cp:coreProperties>
</file>