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53F66">
      <w:pPr>
        <w:jc w:val="center"/>
        <w:rPr>
          <w:rFonts w:hint="eastAsia" w:ascii="宋体" w:hAnsi="宋体"/>
          <w:b/>
          <w:bCs/>
          <w:sz w:val="36"/>
          <w:szCs w:val="36"/>
        </w:rPr>
      </w:pPr>
      <w:r>
        <w:rPr>
          <w:rFonts w:hint="eastAsia" w:ascii="宋体" w:hAnsi="宋体"/>
          <w:b/>
          <w:bCs/>
          <w:sz w:val="36"/>
          <w:szCs w:val="36"/>
        </w:rPr>
        <w:t>盐城港滨海港区南区液体散货储罐区一期工程</w:t>
      </w:r>
    </w:p>
    <w:p w14:paraId="6594B822">
      <w:pPr>
        <w:jc w:val="center"/>
        <w:rPr>
          <w:sz w:val="36"/>
          <w:szCs w:val="36"/>
        </w:rPr>
      </w:pPr>
      <w:r>
        <w:rPr>
          <w:rFonts w:hint="eastAsia" w:ascii="宋体" w:hAnsi="宋体"/>
          <w:b/>
          <w:bCs/>
          <w:sz w:val="36"/>
          <w:szCs w:val="36"/>
          <w:lang w:val="en-US" w:eastAsia="zh-CN"/>
        </w:rPr>
        <w:t>工程量清单</w:t>
      </w:r>
      <w:r>
        <w:rPr>
          <w:rFonts w:hint="eastAsia" w:ascii="宋体" w:hAnsi="宋体"/>
          <w:b/>
          <w:bCs/>
          <w:sz w:val="36"/>
          <w:szCs w:val="36"/>
        </w:rPr>
        <w:t>编制说明</w:t>
      </w:r>
    </w:p>
    <w:p w14:paraId="2846BD29">
      <w:pPr>
        <w:spacing w:line="360" w:lineRule="auto"/>
        <w:ind w:left="218" w:leftChars="104" w:firstLine="482" w:firstLineChars="200"/>
        <w:rPr>
          <w:rFonts w:ascii="宋体" w:hAnsi="宋体" w:eastAsia="宋体" w:cs="宋体"/>
          <w:b/>
          <w:bCs/>
          <w:kern w:val="0"/>
          <w:sz w:val="24"/>
          <w:szCs w:val="24"/>
        </w:rPr>
      </w:pPr>
      <w:r>
        <w:rPr>
          <w:rFonts w:hint="eastAsia" w:ascii="宋体" w:hAnsi="宋体" w:eastAsia="宋体" w:cs="宋体"/>
          <w:b/>
          <w:bCs/>
          <w:kern w:val="0"/>
          <w:sz w:val="24"/>
          <w:szCs w:val="24"/>
        </w:rPr>
        <w:t>一、工程概况</w:t>
      </w:r>
    </w:p>
    <w:p w14:paraId="6C4A9D15">
      <w:pPr>
        <w:spacing w:line="360" w:lineRule="auto"/>
        <w:ind w:left="218" w:leftChars="104" w:firstLine="480" w:firstLineChars="200"/>
        <w:rPr>
          <w:rFonts w:hint="eastAsia" w:ascii="宋体" w:hAnsi="宋体" w:eastAsia="宋体" w:cs="宋体"/>
          <w:sz w:val="24"/>
          <w:szCs w:val="24"/>
        </w:rPr>
      </w:pPr>
      <w:r>
        <w:rPr>
          <w:rFonts w:ascii="宋体" w:hAnsi="宋体" w:eastAsia="宋体" w:cs="宋体"/>
          <w:sz w:val="24"/>
          <w:szCs w:val="24"/>
        </w:rPr>
        <w:t>1、建设单位：</w:t>
      </w:r>
      <w:r>
        <w:rPr>
          <w:rFonts w:hint="eastAsia" w:ascii="宋体" w:hAnsi="宋体" w:eastAsia="宋体" w:cs="宋体"/>
          <w:sz w:val="24"/>
          <w:szCs w:val="24"/>
        </w:rPr>
        <w:t>江苏荣瀚仓储有限公司；</w:t>
      </w:r>
    </w:p>
    <w:p w14:paraId="15CF1E98">
      <w:pPr>
        <w:ind w:firstLine="720" w:firstLineChars="300"/>
        <w:jc w:val="both"/>
        <w:rPr>
          <w:rFonts w:hint="eastAsia" w:ascii="宋体" w:hAnsi="宋体" w:eastAsia="宋体" w:cs="宋体"/>
          <w:sz w:val="24"/>
          <w:szCs w:val="24"/>
          <w:lang w:val="en-US" w:eastAsia="zh-CN"/>
        </w:rPr>
      </w:pPr>
      <w:r>
        <w:rPr>
          <w:rFonts w:hint="eastAsia" w:ascii="宋体" w:hAnsi="宋体" w:eastAsia="宋体" w:cs="宋体"/>
          <w:sz w:val="24"/>
          <w:szCs w:val="24"/>
        </w:rPr>
        <w:t>2、工程名称：盐城港滨海港区南区液体散货储罐区一期工程</w:t>
      </w:r>
      <w:r>
        <w:rPr>
          <w:rFonts w:hint="eastAsia" w:ascii="宋体" w:hAnsi="宋体" w:eastAsia="宋体" w:cs="宋体"/>
          <w:sz w:val="24"/>
          <w:szCs w:val="24"/>
          <w:lang w:val="en-US" w:eastAsia="zh-CN"/>
        </w:rPr>
        <w:t>；</w:t>
      </w:r>
    </w:p>
    <w:p w14:paraId="3B038FB3">
      <w:pPr>
        <w:spacing w:line="360" w:lineRule="auto"/>
        <w:ind w:left="218" w:leftChars="104" w:firstLine="480" w:firstLineChars="200"/>
        <w:rPr>
          <w:rFonts w:ascii="宋体" w:hAnsi="宋体" w:eastAsia="宋体" w:cs="宋体"/>
          <w:sz w:val="24"/>
          <w:szCs w:val="24"/>
        </w:rPr>
      </w:pPr>
      <w:r>
        <w:rPr>
          <w:rFonts w:ascii="宋体" w:hAnsi="宋体" w:eastAsia="宋体" w:cs="宋体"/>
          <w:sz w:val="24"/>
          <w:szCs w:val="24"/>
        </w:rPr>
        <w:t>3、建设地点：</w:t>
      </w:r>
      <w:r>
        <w:rPr>
          <w:rFonts w:hint="eastAsia" w:ascii="宋体" w:hAnsi="宋体" w:eastAsia="宋体" w:cs="宋体"/>
          <w:sz w:val="24"/>
          <w:szCs w:val="24"/>
          <w:lang w:val="en-US" w:eastAsia="zh-CN"/>
        </w:rPr>
        <w:t>江苏省盐城市滨海县</w:t>
      </w:r>
      <w:r>
        <w:rPr>
          <w:rFonts w:hint="eastAsia" w:ascii="宋体" w:hAnsi="宋体" w:eastAsia="宋体" w:cs="宋体"/>
          <w:sz w:val="24"/>
          <w:szCs w:val="24"/>
        </w:rPr>
        <w:t>；</w:t>
      </w:r>
    </w:p>
    <w:p w14:paraId="4B0A0889">
      <w:pPr>
        <w:spacing w:line="360" w:lineRule="auto"/>
        <w:ind w:left="218" w:leftChars="104" w:firstLine="480" w:firstLineChars="200"/>
        <w:rPr>
          <w:rFonts w:ascii="宋体" w:hAnsi="宋体" w:eastAsia="宋体" w:cs="宋体"/>
          <w:sz w:val="24"/>
          <w:szCs w:val="24"/>
        </w:rPr>
      </w:pPr>
      <w:r>
        <w:rPr>
          <w:rFonts w:ascii="宋体" w:hAnsi="宋体" w:eastAsia="宋体" w:cs="宋体"/>
          <w:sz w:val="24"/>
          <w:szCs w:val="24"/>
        </w:rPr>
        <w:t>4、工程</w:t>
      </w:r>
      <w:r>
        <w:rPr>
          <w:rFonts w:hint="eastAsia" w:ascii="宋体" w:hAnsi="宋体" w:eastAsia="宋体" w:cs="宋体"/>
          <w:sz w:val="24"/>
          <w:szCs w:val="24"/>
        </w:rPr>
        <w:t>范围</w:t>
      </w:r>
      <w:r>
        <w:rPr>
          <w:rFonts w:ascii="宋体" w:hAnsi="宋体" w:eastAsia="宋体" w:cs="宋体"/>
          <w:sz w:val="24"/>
          <w:szCs w:val="24"/>
        </w:rPr>
        <w:t>：</w:t>
      </w:r>
      <w:r>
        <w:rPr>
          <w:rFonts w:hint="eastAsia" w:ascii="宋体" w:hAnsi="宋体" w:eastAsia="宋体" w:cs="宋体"/>
          <w:sz w:val="24"/>
          <w:szCs w:val="24"/>
          <w:lang w:val="en-US" w:eastAsia="zh-CN"/>
        </w:rPr>
        <w:t>土建工程、安装、设备工程，</w:t>
      </w:r>
      <w:r>
        <w:rPr>
          <w:rFonts w:ascii="宋体" w:hAnsi="宋体" w:eastAsia="宋体" w:cs="宋体"/>
          <w:sz w:val="24"/>
          <w:szCs w:val="24"/>
        </w:rPr>
        <w:t>具体详见图纸及工程量清单</w:t>
      </w:r>
      <w:r>
        <w:rPr>
          <w:rFonts w:hint="eastAsia" w:ascii="宋体" w:hAnsi="宋体" w:eastAsia="宋体" w:cs="宋体"/>
          <w:sz w:val="24"/>
          <w:szCs w:val="24"/>
        </w:rPr>
        <w:t>。</w:t>
      </w:r>
    </w:p>
    <w:p w14:paraId="610D41A6">
      <w:pPr>
        <w:spacing w:line="360" w:lineRule="auto"/>
        <w:ind w:left="218" w:leftChars="104" w:firstLine="480" w:firstLineChars="200"/>
        <w:rPr>
          <w:rFonts w:ascii="宋体" w:hAnsi="宋体" w:eastAsia="宋体" w:cs="宋体"/>
          <w:sz w:val="24"/>
          <w:szCs w:val="24"/>
        </w:rPr>
      </w:pPr>
      <w:r>
        <w:rPr>
          <w:rFonts w:ascii="宋体" w:hAnsi="宋体" w:eastAsia="宋体" w:cs="宋体"/>
          <w:sz w:val="24"/>
          <w:szCs w:val="24"/>
        </w:rPr>
        <w:t>5、计划工期：</w:t>
      </w:r>
      <w:r>
        <w:rPr>
          <w:rFonts w:hint="eastAsia" w:ascii="宋体" w:hAnsi="宋体" w:eastAsia="宋体" w:cs="宋体"/>
          <w:color w:val="auto"/>
          <w:sz w:val="24"/>
          <w:szCs w:val="24"/>
          <w:lang w:val="en-US" w:eastAsia="zh-CN"/>
        </w:rPr>
        <w:t>150</w:t>
      </w:r>
      <w:r>
        <w:rPr>
          <w:rFonts w:hint="eastAsia" w:ascii="宋体" w:hAnsi="宋体" w:eastAsia="宋体" w:cs="宋体"/>
          <w:color w:val="auto"/>
          <w:sz w:val="24"/>
          <w:szCs w:val="24"/>
        </w:rPr>
        <w:t>日历天；</w:t>
      </w:r>
    </w:p>
    <w:p w14:paraId="108FBC5B">
      <w:pPr>
        <w:spacing w:line="360" w:lineRule="auto"/>
        <w:ind w:left="218" w:leftChars="104" w:firstLine="480" w:firstLineChars="200"/>
        <w:rPr>
          <w:rStyle w:val="7"/>
          <w:rFonts w:hint="default"/>
          <w:sz w:val="24"/>
          <w:szCs w:val="24"/>
        </w:rPr>
      </w:pPr>
      <w:r>
        <w:rPr>
          <w:rStyle w:val="7"/>
          <w:rFonts w:hint="default"/>
          <w:sz w:val="24"/>
          <w:szCs w:val="24"/>
        </w:rPr>
        <w:t>6、现场及交通运输情况：各投标人自行踏勘现场。</w:t>
      </w:r>
    </w:p>
    <w:p w14:paraId="20D03EF1">
      <w:pPr>
        <w:spacing w:line="360" w:lineRule="auto"/>
        <w:ind w:left="218" w:leftChars="104" w:firstLine="482" w:firstLineChars="200"/>
        <w:rPr>
          <w:rFonts w:ascii="宋体" w:hAnsi="宋体" w:eastAsia="宋体" w:cs="宋体"/>
          <w:sz w:val="24"/>
          <w:szCs w:val="24"/>
        </w:rPr>
      </w:pPr>
      <w:r>
        <w:rPr>
          <w:rFonts w:hint="eastAsia" w:ascii="宋体" w:hAnsi="宋体" w:eastAsia="宋体" w:cs="宋体"/>
          <w:b/>
          <w:bCs/>
          <w:sz w:val="24"/>
          <w:szCs w:val="24"/>
        </w:rPr>
        <w:t>二、编制依据</w:t>
      </w:r>
    </w:p>
    <w:p w14:paraId="7C144909">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1、建设单位提供的设计图纸电子版。</w:t>
      </w:r>
    </w:p>
    <w:p w14:paraId="4571D03D">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2、《建设工程工程量清单计价规范》(GB50500-2013)、《工程量清单项目计量规范》(2013-江苏)、</w:t>
      </w:r>
      <w:r>
        <w:rPr>
          <w:rFonts w:hint="eastAsia" w:ascii="宋体" w:hAnsi="宋体"/>
          <w:sz w:val="24"/>
        </w:rPr>
        <w:t>《江苏省建筑与装饰工程计价定额》（2014年）、</w:t>
      </w:r>
      <w:r>
        <w:rPr>
          <w:rFonts w:hint="eastAsia" w:ascii="宋体" w:hAnsi="宋体" w:eastAsia="宋体" w:cs="宋体"/>
          <w:sz w:val="24"/>
          <w:szCs w:val="24"/>
        </w:rPr>
        <w:t>《江苏省市政工程计价定额》（2014年）、</w:t>
      </w:r>
      <w:r>
        <w:rPr>
          <w:rFonts w:hint="eastAsia" w:ascii="宋体" w:hAnsi="宋体"/>
          <w:sz w:val="24"/>
        </w:rPr>
        <w:t>《江苏省安装工程计价定额》（2014年）、《江苏省仿古建筑与园林工程计价表》（2007）、</w:t>
      </w:r>
      <w:r>
        <w:rPr>
          <w:rFonts w:hint="eastAsia" w:ascii="宋体" w:hAnsi="宋体" w:eastAsia="宋体" w:cs="宋体"/>
          <w:sz w:val="24"/>
          <w:szCs w:val="24"/>
        </w:rPr>
        <w:t>《江苏省建设工程费用定额2014》、《关于建筑业实施营改增后江苏省建设工程计价依据调整的通知》（苏建价[2016]154号文）、根据苏建函价[2019]178号《关于调整建设工程计价增值税税率的通知》</w:t>
      </w:r>
      <w:r>
        <w:rPr>
          <w:rFonts w:hint="eastAsia" w:ascii="宋体" w:hAnsi="宋体" w:eastAsia="宋体" w:cs="宋体"/>
          <w:sz w:val="24"/>
          <w:szCs w:val="24"/>
          <w:lang w:eastAsia="zh-CN"/>
        </w:rPr>
        <w:t>、</w:t>
      </w:r>
      <w:r>
        <w:rPr>
          <w:rFonts w:hint="eastAsia" w:ascii="宋体" w:hAnsi="宋体" w:eastAsia="宋体" w:cs="宋体"/>
          <w:sz w:val="24"/>
          <w:szCs w:val="24"/>
        </w:rPr>
        <w:t>《省住房城乡建设厅关于建筑工人实名制费用计取方法的公告》（省厅公告〔2019〕第19号）。</w:t>
      </w:r>
    </w:p>
    <w:p w14:paraId="00D04ECC">
      <w:pPr>
        <w:spacing w:line="360" w:lineRule="auto"/>
        <w:ind w:left="218" w:leftChars="104" w:firstLine="482" w:firstLineChars="200"/>
        <w:rPr>
          <w:rFonts w:ascii="宋体" w:hAnsi="宋体" w:eastAsia="宋体" w:cs="宋体"/>
          <w:b/>
          <w:bCs/>
          <w:kern w:val="0"/>
          <w:sz w:val="24"/>
          <w:szCs w:val="24"/>
        </w:rPr>
      </w:pPr>
      <w:r>
        <w:rPr>
          <w:rFonts w:hint="eastAsia" w:ascii="宋体" w:hAnsi="宋体" w:eastAsia="宋体" w:cs="宋体"/>
          <w:b/>
          <w:bCs/>
          <w:kern w:val="0"/>
          <w:sz w:val="24"/>
          <w:szCs w:val="24"/>
        </w:rPr>
        <w:t>三、编制责任</w:t>
      </w:r>
    </w:p>
    <w:p w14:paraId="2C21B23D">
      <w:pPr>
        <w:autoSpaceDE w:val="0"/>
        <w:autoSpaceDN w:val="0"/>
        <w:adjustRightInd w:val="0"/>
        <w:spacing w:line="360" w:lineRule="auto"/>
        <w:ind w:left="218" w:leftChars="104" w:firstLine="480" w:firstLineChars="200"/>
        <w:jc w:val="left"/>
        <w:rPr>
          <w:rFonts w:ascii="宋体" w:hAnsi="宋体" w:eastAsia="宋体" w:cs="宋体"/>
          <w:sz w:val="24"/>
          <w:szCs w:val="24"/>
        </w:rPr>
      </w:pPr>
      <w:r>
        <w:rPr>
          <w:rFonts w:hint="eastAsia" w:ascii="宋体" w:hAnsi="宋体" w:eastAsia="宋体" w:cs="宋体"/>
          <w:sz w:val="24"/>
          <w:szCs w:val="24"/>
        </w:rPr>
        <w:t>委托方：对提供资料的真实性、合法性、完整性负责。</w:t>
      </w:r>
    </w:p>
    <w:p w14:paraId="1F456A0A">
      <w:pPr>
        <w:autoSpaceDE w:val="0"/>
        <w:autoSpaceDN w:val="0"/>
        <w:adjustRightInd w:val="0"/>
        <w:spacing w:line="360" w:lineRule="auto"/>
        <w:ind w:left="218" w:leftChars="104" w:firstLine="480" w:firstLineChars="200"/>
        <w:jc w:val="left"/>
        <w:rPr>
          <w:rFonts w:ascii="宋体" w:hAnsi="宋体" w:eastAsia="宋体" w:cs="宋体"/>
          <w:sz w:val="24"/>
          <w:szCs w:val="24"/>
        </w:rPr>
      </w:pPr>
      <w:r>
        <w:rPr>
          <w:rFonts w:hint="eastAsia" w:ascii="宋体" w:hAnsi="宋体" w:eastAsia="宋体" w:cs="宋体"/>
          <w:sz w:val="24"/>
          <w:szCs w:val="24"/>
        </w:rPr>
        <w:t>受托方：对控制价编制报告的真实性、合法性负责。</w:t>
      </w:r>
    </w:p>
    <w:p w14:paraId="4FD3D216">
      <w:pPr>
        <w:spacing w:line="360" w:lineRule="auto"/>
        <w:ind w:left="218" w:leftChars="104" w:firstLine="482" w:firstLineChars="200"/>
        <w:rPr>
          <w:rFonts w:ascii="宋体" w:hAnsi="宋体" w:eastAsia="宋体" w:cs="宋体"/>
          <w:b/>
          <w:bCs/>
          <w:kern w:val="0"/>
          <w:sz w:val="24"/>
          <w:szCs w:val="24"/>
        </w:rPr>
      </w:pPr>
      <w:r>
        <w:rPr>
          <w:rFonts w:hint="eastAsia" w:ascii="宋体" w:hAnsi="宋体" w:eastAsia="宋体" w:cs="宋体"/>
          <w:b/>
          <w:bCs/>
          <w:kern w:val="0"/>
          <w:sz w:val="24"/>
          <w:szCs w:val="24"/>
        </w:rPr>
        <w:t>四、编制说明</w:t>
      </w:r>
    </w:p>
    <w:p w14:paraId="2E9B5241">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1、一般说明</w:t>
      </w:r>
    </w:p>
    <w:p w14:paraId="1F67DDCF">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（1）施工现场情况：以现场踏勘情况为准。</w:t>
      </w:r>
    </w:p>
    <w:p w14:paraId="22AE3CE7">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（2）交通运输情况：以现场踏勘情况为准。</w:t>
      </w:r>
    </w:p>
    <w:p w14:paraId="2C6196FA">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（3）环境保护要求；满足省、市及当地政府对环境保护的相关要求和规定。</w:t>
      </w:r>
    </w:p>
    <w:p w14:paraId="2FEAE5CA">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（4）本工程投标报价按《建设工程工程量清单计价规范》和相应计算规范的规定及要求，使用表格及格式按《建设工程工程量清单计价规范》要求执行。</w:t>
      </w:r>
    </w:p>
    <w:p w14:paraId="5B3EA57F">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（5）工程量清单中的每一个项目，都需填入综合单价及合价；不同单项及单位工程中的分部分项工程量清单中相同项目（项目特征及工作内容相同）的报价应统一，如有差异，按最低一个报价进行结算。</w:t>
      </w:r>
    </w:p>
    <w:p w14:paraId="6F71A31D">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（6）本工程量清单中的分部分项工程量及措施项目工程量均是根据本工程施工图、按照“工程量计算规范”的规定进行计算的，仅作为施工企业投标报价的共同基础，不能作为最终结算与支付价款的依据。</w:t>
      </w:r>
    </w:p>
    <w:p w14:paraId="668D112C">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（7）工程量清单及其计价格式中的任何内容不得随意删除或涂改，若有错误，在招标答疑时及时提出，以“补遗”资料为准。</w:t>
      </w:r>
    </w:p>
    <w:p w14:paraId="2A6F9FD6">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（8）分部分项工程量清单中对工程项目的项目特征及具体做法制作重点描述，详细情况见施工图设计、技术说明及相关标准图集。组价时应结合投标人现场勘查情况包括完成所有工序工作内容的全部费用。</w:t>
      </w:r>
    </w:p>
    <w:p w14:paraId="4CE98FB6">
      <w:pPr>
        <w:spacing w:line="360" w:lineRule="auto"/>
        <w:ind w:left="218" w:leftChars="104" w:firstLine="480" w:firstLineChars="200"/>
        <w:rPr>
          <w:rFonts w:hint="eastAsia" w:ascii="宋体" w:hAnsi="宋体" w:eastAsia="宋体" w:cs="宋体"/>
          <w:sz w:val="24"/>
          <w:szCs w:val="24"/>
        </w:rPr>
      </w:pPr>
      <w:r>
        <w:rPr>
          <w:rFonts w:hint="eastAsia" w:ascii="宋体" w:hAnsi="宋体" w:eastAsia="宋体" w:cs="宋体"/>
          <w:sz w:val="24"/>
          <w:szCs w:val="24"/>
        </w:rPr>
        <w:t>（9）投标人必须充分踏勘现场，了解现场实际情况，自行考虑材料运输及堆场、机械进退场所必须的临时道路，综合考虑到报价中，结算时不予调整。</w:t>
      </w:r>
    </w:p>
    <w:p w14:paraId="6C4BEF97">
      <w:pPr>
        <w:spacing w:line="360" w:lineRule="auto"/>
        <w:ind w:left="218" w:leftChars="104" w:firstLine="480" w:firstLineChars="200"/>
        <w:rPr>
          <w:rFonts w:hint="eastAsia" w:ascii="宋体" w:hAnsi="宋体" w:eastAsia="宋体" w:cs="宋体"/>
          <w:sz w:val="24"/>
          <w:szCs w:val="24"/>
        </w:rPr>
      </w:pPr>
      <w:r>
        <w:rPr>
          <w:rFonts w:hint="eastAsia" w:ascii="宋体" w:hAnsi="宋体" w:eastAsia="宋体" w:cs="宋体"/>
          <w:sz w:val="24"/>
          <w:szCs w:val="24"/>
        </w:rPr>
        <w:t>（10）各投标单位自行考虑施工期间人工、材料、机械价格调整的相关因素后综合报价，结算时综合单价不予调整。</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招标文件另有约定除外</w:t>
      </w:r>
      <w:r>
        <w:rPr>
          <w:rFonts w:hint="eastAsia" w:ascii="宋体" w:hAnsi="宋体" w:eastAsia="宋体" w:cs="宋体"/>
          <w:sz w:val="24"/>
          <w:szCs w:val="24"/>
          <w:lang w:eastAsia="zh-CN"/>
        </w:rPr>
        <w:t>）</w:t>
      </w:r>
    </w:p>
    <w:p w14:paraId="7AFA41DB">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1</w:t>
      </w:r>
      <w:r>
        <w:rPr>
          <w:rFonts w:hint="eastAsia" w:ascii="宋体" w:hAnsi="宋体" w:eastAsia="宋体" w:cs="宋体"/>
          <w:sz w:val="24"/>
          <w:szCs w:val="24"/>
        </w:rPr>
        <w:t>）投标人应先到需施工的现场勘查以充分了解其施工环境，工地位置及任何其他足以影响承包价及工期的情况，招标人对于现有的施工环境条件将不增加任何投入，投标人自行考虑并计入投标价内。</w:t>
      </w:r>
    </w:p>
    <w:p w14:paraId="76D20E99">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2</w:t>
      </w:r>
      <w:r>
        <w:rPr>
          <w:rFonts w:hint="eastAsia" w:ascii="宋体" w:hAnsi="宋体" w:eastAsia="宋体" w:cs="宋体"/>
          <w:sz w:val="24"/>
          <w:szCs w:val="24"/>
        </w:rPr>
        <w:t>）当清单项目特征描述的内容不全时，应结合设计图纸，并应当综合考虑施工规范、地方规章等的要求，所产生的费用计入投标报价中；清单特征中未描述的，但计价规范中、设计图纸注明的工程内容，承包人在报价中应充分考虑“工程内容”而产生的费用，列入相应报价中，结算时不调整清单综合单价。</w:t>
      </w:r>
    </w:p>
    <w:p w14:paraId="7C3481A7">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3</w:t>
      </w:r>
      <w:r>
        <w:rPr>
          <w:rFonts w:hint="eastAsia" w:ascii="宋体" w:hAnsi="宋体" w:eastAsia="宋体" w:cs="宋体"/>
          <w:sz w:val="24"/>
          <w:szCs w:val="24"/>
        </w:rPr>
        <w:t>）工程量清单中每一综合单价均应包括人工费、材料费、机械费、管理费、利润以及现行取费中的有关费用、有关文件规定的调价以及根据本招标文件要求的风险金等全部费用，请投标人自行综合考虑，结算时不予调整。</w:t>
      </w:r>
    </w:p>
    <w:p w14:paraId="2960714F">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4</w:t>
      </w:r>
      <w:r>
        <w:rPr>
          <w:rFonts w:hint="eastAsia" w:ascii="宋体" w:hAnsi="宋体" w:eastAsia="宋体" w:cs="宋体"/>
          <w:sz w:val="24"/>
          <w:szCs w:val="24"/>
        </w:rPr>
        <w:t>）工程验收交付前所发生的工程费用（如建筑物的看管，成品保护等费用），均须计入投标报价中。</w:t>
      </w:r>
    </w:p>
    <w:p w14:paraId="1888EC44">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5</w:t>
      </w:r>
      <w:r>
        <w:rPr>
          <w:rFonts w:hint="eastAsia" w:ascii="宋体" w:hAnsi="宋体" w:eastAsia="宋体" w:cs="宋体"/>
          <w:sz w:val="24"/>
          <w:szCs w:val="24"/>
        </w:rPr>
        <w:t>）投标人根据招标文件给定的工期，且应充分考虑本工程所处地区的自然气候、人文地理条件、政府政策性调整等可估计的原因导致的工期影响，自行测算各项赶工费用，计入报价，一旦中标，不再调整此类赶工费用。</w:t>
      </w:r>
    </w:p>
    <w:p w14:paraId="22E1BFCD">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6</w:t>
      </w:r>
      <w:r>
        <w:rPr>
          <w:rFonts w:hint="eastAsia" w:ascii="宋体" w:hAnsi="宋体" w:eastAsia="宋体" w:cs="宋体"/>
          <w:sz w:val="24"/>
          <w:szCs w:val="24"/>
        </w:rPr>
        <w:t>）如投标人需相关单位及部门配合，配合费综合考虑在投标报价中，结算时不予调整。</w:t>
      </w:r>
    </w:p>
    <w:p w14:paraId="5F0A17D2">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7</w:t>
      </w:r>
      <w:r>
        <w:rPr>
          <w:rFonts w:hint="eastAsia" w:ascii="宋体" w:hAnsi="宋体" w:eastAsia="宋体" w:cs="宋体"/>
          <w:sz w:val="24"/>
          <w:szCs w:val="24"/>
        </w:rPr>
        <w:t>）对于总价措施项目除安全文明施工费按规定的费率调整外，其余总价措施项目请投标人在报价中充分考虑，结算时不得调整。</w:t>
      </w:r>
    </w:p>
    <w:p w14:paraId="1938CA13">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w:t>
      </w:r>
      <w:r>
        <w:rPr>
          <w:rFonts w:hint="eastAsia" w:ascii="宋体" w:hAnsi="宋体" w:eastAsia="宋体" w:cs="宋体"/>
          <w:sz w:val="24"/>
          <w:szCs w:val="24"/>
          <w:lang w:val="en-US" w:eastAsia="zh-CN"/>
        </w:rPr>
        <w:t>8</w:t>
      </w:r>
      <w:r>
        <w:rPr>
          <w:rFonts w:hint="eastAsia" w:ascii="宋体" w:hAnsi="宋体" w:eastAsia="宋体" w:cs="宋体"/>
          <w:sz w:val="24"/>
          <w:szCs w:val="24"/>
        </w:rPr>
        <w:t>）单价措施项目工程量为1的项目，请投标人在报价中充分考虑，结算时不得另行增加其它费用。</w:t>
      </w:r>
    </w:p>
    <w:p w14:paraId="3EA186B8">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19</w:t>
      </w:r>
      <w:r>
        <w:rPr>
          <w:rFonts w:hint="eastAsia" w:ascii="宋体" w:hAnsi="宋体" w:eastAsia="宋体" w:cs="宋体"/>
          <w:sz w:val="24"/>
          <w:szCs w:val="24"/>
        </w:rPr>
        <w:t>）投标人须对清单各条目进行完整性报价，综合单价为完成各清单项目所有内容的费用（包含但不限于项目特征描述的工艺、做法）。</w:t>
      </w:r>
    </w:p>
    <w:p w14:paraId="296E3117">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20</w:t>
      </w:r>
      <w:r>
        <w:rPr>
          <w:rFonts w:hint="eastAsia" w:ascii="宋体" w:hAnsi="宋体" w:eastAsia="宋体" w:cs="宋体"/>
          <w:sz w:val="24"/>
          <w:szCs w:val="24"/>
        </w:rPr>
        <w:t>）投标人应对清单中的每一个项目进行报价（包括综合单价及合价），如漏报或少报项目，则视为其费用已含在其它项目的综合单价或合价中，结算时不调整。</w:t>
      </w:r>
    </w:p>
    <w:p w14:paraId="15F8B4EA">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2</w:t>
      </w:r>
      <w:r>
        <w:rPr>
          <w:rFonts w:hint="eastAsia" w:ascii="宋体" w:hAnsi="宋体" w:eastAsia="宋体" w:cs="宋体"/>
          <w:sz w:val="24"/>
          <w:szCs w:val="24"/>
          <w:lang w:val="en-US" w:eastAsia="zh-CN"/>
        </w:rPr>
        <w:t>1</w:t>
      </w:r>
      <w:r>
        <w:rPr>
          <w:rFonts w:hint="eastAsia" w:ascii="宋体" w:hAnsi="宋体" w:eastAsia="宋体" w:cs="宋体"/>
          <w:sz w:val="24"/>
          <w:szCs w:val="24"/>
        </w:rPr>
        <w:t>）已完成的成品及需要保护的部位应做保护，费用综合考虑在报价中；工程交付界面经保洁后须达到洁净整齐，不得有烂尾工程部位，工程质量符合设计标准及业主要求。</w:t>
      </w:r>
    </w:p>
    <w:p w14:paraId="2AEEAE30">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2</w:t>
      </w:r>
      <w:r>
        <w:rPr>
          <w:rFonts w:hint="eastAsia" w:ascii="宋体" w:hAnsi="宋体" w:eastAsia="宋体" w:cs="宋体"/>
          <w:sz w:val="24"/>
          <w:szCs w:val="24"/>
          <w:lang w:val="en-US" w:eastAsia="zh-CN"/>
        </w:rPr>
        <w:t>2</w:t>
      </w:r>
      <w:r>
        <w:rPr>
          <w:rFonts w:hint="eastAsia" w:ascii="宋体" w:hAnsi="宋体" w:eastAsia="宋体" w:cs="宋体"/>
          <w:sz w:val="24"/>
          <w:szCs w:val="24"/>
        </w:rPr>
        <w:t>）水、电费：施工用水电费及生活用水电费用含在综合单价中，不另行计算。</w:t>
      </w:r>
    </w:p>
    <w:p w14:paraId="1C8DF0BC">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2、特殊说明</w:t>
      </w:r>
    </w:p>
    <w:p w14:paraId="405E34C8">
      <w:pPr>
        <w:spacing w:line="360" w:lineRule="auto"/>
        <w:ind w:firstLine="960" w:firstLineChars="400"/>
        <w:rPr>
          <w:rFonts w:ascii="宋体" w:hAnsi="宋体" w:eastAsia="宋体" w:cs="宋体"/>
          <w:sz w:val="24"/>
          <w:szCs w:val="24"/>
        </w:rPr>
      </w:pPr>
      <w:r>
        <w:rPr>
          <w:rFonts w:hint="eastAsia" w:ascii="宋体" w:hAnsi="宋体" w:eastAsia="宋体" w:cs="宋体"/>
          <w:sz w:val="24"/>
          <w:szCs w:val="24"/>
        </w:rPr>
        <w:t>本工程含专业工程暂估价（不含规费税金）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2784430.10</w:t>
      </w:r>
      <w:r>
        <w:rPr>
          <w:rFonts w:ascii="宋体" w:hAnsi="宋体" w:eastAsia="宋体" w:cs="宋体"/>
          <w:sz w:val="24"/>
          <w:szCs w:val="24"/>
          <w:u w:val="single"/>
        </w:rPr>
        <w:t xml:space="preserve"> </w:t>
      </w:r>
      <w:r>
        <w:rPr>
          <w:rFonts w:hint="eastAsia" w:ascii="宋体" w:hAnsi="宋体" w:eastAsia="宋体" w:cs="宋体"/>
          <w:sz w:val="24"/>
          <w:szCs w:val="24"/>
        </w:rPr>
        <w:t>元，暂列金（不含规费税金）</w:t>
      </w:r>
      <w:r>
        <w:rPr>
          <w:rFonts w:hint="eastAsia" w:ascii="宋体" w:hAnsi="宋体" w:eastAsia="宋体" w:cs="宋体"/>
          <w:sz w:val="24"/>
          <w:szCs w:val="24"/>
          <w:u w:val="single"/>
          <w:lang w:val="en-US" w:eastAsia="zh-CN"/>
        </w:rPr>
        <w:t xml:space="preserve"> 8899317.29 </w:t>
      </w:r>
      <w:r>
        <w:rPr>
          <w:rFonts w:hint="eastAsia" w:ascii="宋体" w:hAnsi="宋体" w:eastAsia="宋体" w:cs="宋体"/>
          <w:sz w:val="24"/>
          <w:szCs w:val="24"/>
        </w:rPr>
        <w:t>元。</w:t>
      </w:r>
    </w:p>
    <w:p w14:paraId="172886D8">
      <w:pPr>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3、补充说明</w:t>
      </w:r>
    </w:p>
    <w:p w14:paraId="293DEC4C">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1）投标人应根据本招标工程的具体情况和投标人的自身情况，结合可能发生的施工现场外部费用，一次性地报出本招标工程的措施费和其它项目费。凡属于措施项目，而投标人未作相应报价的，将被认为投标人已经在投标报价的其它列项中作了相应的考虑。投标人所报的此类费用是合同制约的固定包干费用，除非合同另有约定，其它任何情况下不予调整。</w:t>
      </w:r>
    </w:p>
    <w:p w14:paraId="586F9C1D">
      <w:pPr>
        <w:spacing w:line="360" w:lineRule="auto"/>
        <w:ind w:left="218" w:leftChars="104" w:firstLine="480" w:firstLineChars="200"/>
        <w:rPr>
          <w:rFonts w:ascii="宋体" w:hAnsi="宋体" w:eastAsia="宋体" w:cs="宋体"/>
          <w:sz w:val="24"/>
          <w:szCs w:val="24"/>
        </w:rPr>
      </w:pPr>
      <w:r>
        <w:rPr>
          <w:rFonts w:hint="eastAsia" w:ascii="宋体" w:hAnsi="宋体" w:eastAsia="宋体" w:cs="宋体"/>
          <w:sz w:val="24"/>
          <w:szCs w:val="24"/>
        </w:rPr>
        <w:t>（2）分部分项工程量清单中对工程项目的项目特征及具体做法只作重点描述，详细情况见施工图设计、施工说明、技术措施表及相关标准图集，组价时应结合投标人现场勘查情况包括完成所有工序工作内容的全部费用，清单描述不能作为投标人漏项、漏序的借口；清单项目描述与图纸不一致处，以清单为准。</w:t>
      </w:r>
    </w:p>
    <w:p w14:paraId="5FC53E00">
      <w:pPr>
        <w:spacing w:line="360" w:lineRule="auto"/>
        <w:ind w:left="218" w:leftChars="104" w:firstLine="480" w:firstLineChars="200"/>
        <w:rPr>
          <w:rFonts w:hint="eastAsia" w:ascii="宋体" w:hAnsi="宋体" w:eastAsia="宋体" w:cs="宋体"/>
          <w:sz w:val="24"/>
          <w:szCs w:val="24"/>
        </w:rPr>
      </w:pPr>
      <w:r>
        <w:rPr>
          <w:rFonts w:hint="eastAsia" w:ascii="宋体" w:hAnsi="宋体" w:eastAsia="宋体" w:cs="宋体"/>
          <w:sz w:val="24"/>
          <w:szCs w:val="24"/>
        </w:rPr>
        <w:t>（3）本说明为招标文件的重要组成部分，投标单位需仔细阅读每一条款，做出合理报价。</w:t>
      </w:r>
    </w:p>
    <w:p w14:paraId="734108CF">
      <w:pPr>
        <w:spacing w:line="360" w:lineRule="auto"/>
        <w:ind w:left="218" w:leftChars="104"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）所有砂浆均采用预拌砂浆。</w:t>
      </w:r>
    </w:p>
    <w:p w14:paraId="2786EF07">
      <w:pPr>
        <w:spacing w:line="360" w:lineRule="auto"/>
        <w:ind w:left="218" w:leftChars="104"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）室外附属工程中室外地坪-其他道路工程量暂按14119.04m2。</w:t>
      </w:r>
    </w:p>
    <w:p w14:paraId="0F7A632D">
      <w:pPr>
        <w:spacing w:line="360" w:lineRule="auto"/>
        <w:ind w:left="218" w:leftChars="104"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）制冷机组及换热器、废气处理设备基础不在本次编制范围内。</w:t>
      </w:r>
    </w:p>
    <w:p w14:paraId="2E5106AB">
      <w:pPr>
        <w:spacing w:line="360" w:lineRule="auto"/>
        <w:ind w:left="218" w:leftChars="104"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1000KW柴油发电机及配套设施不在本次编制范围内。</w:t>
      </w:r>
      <w:bookmarkStart w:id="0" w:name="_GoBack"/>
      <w:bookmarkEnd w:id="0"/>
    </w:p>
    <w:p w14:paraId="3D093B52">
      <w:pPr>
        <w:spacing w:line="360" w:lineRule="auto"/>
        <w:ind w:left="218" w:leftChars="104" w:firstLine="480" w:firstLineChars="200"/>
        <w:rPr>
          <w:rFonts w:hint="default" w:ascii="宋体" w:hAnsi="宋体" w:eastAsia="宋体" w:cs="宋体"/>
          <w:sz w:val="24"/>
          <w:szCs w:val="24"/>
          <w:lang w:val="en-US" w:eastAsia="zh-CN"/>
        </w:rPr>
      </w:pPr>
    </w:p>
    <w:p w14:paraId="76FF7D2B">
      <w:pPr>
        <w:spacing w:line="360" w:lineRule="auto"/>
        <w:ind w:firstLine="720" w:firstLineChars="300"/>
        <w:rPr>
          <w:rFonts w:hint="default"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zNjFlZDU2MmUyZTNiYjJjZmU3ZTA5ZWEyZjU0YmMifQ=="/>
  </w:docVars>
  <w:rsids>
    <w:rsidRoot w:val="00C36DA9"/>
    <w:rsid w:val="0000239A"/>
    <w:rsid w:val="00026B77"/>
    <w:rsid w:val="00027031"/>
    <w:rsid w:val="00037D4A"/>
    <w:rsid w:val="0004026E"/>
    <w:rsid w:val="00046511"/>
    <w:rsid w:val="000511AB"/>
    <w:rsid w:val="000545A5"/>
    <w:rsid w:val="00073BE6"/>
    <w:rsid w:val="00083DBC"/>
    <w:rsid w:val="00085023"/>
    <w:rsid w:val="00093268"/>
    <w:rsid w:val="0009386D"/>
    <w:rsid w:val="00094ED7"/>
    <w:rsid w:val="000A5F98"/>
    <w:rsid w:val="000B79EF"/>
    <w:rsid w:val="000C2E05"/>
    <w:rsid w:val="000C6564"/>
    <w:rsid w:val="000E37D6"/>
    <w:rsid w:val="000E5E5B"/>
    <w:rsid w:val="00103C9C"/>
    <w:rsid w:val="0012133E"/>
    <w:rsid w:val="00126D5B"/>
    <w:rsid w:val="00147CD3"/>
    <w:rsid w:val="00152CF0"/>
    <w:rsid w:val="00160CB2"/>
    <w:rsid w:val="00172269"/>
    <w:rsid w:val="00173597"/>
    <w:rsid w:val="00175D49"/>
    <w:rsid w:val="001817B3"/>
    <w:rsid w:val="00182666"/>
    <w:rsid w:val="001A5AF3"/>
    <w:rsid w:val="001B5F17"/>
    <w:rsid w:val="001C465D"/>
    <w:rsid w:val="001E1A9C"/>
    <w:rsid w:val="001E225E"/>
    <w:rsid w:val="001F5A39"/>
    <w:rsid w:val="001F7E1F"/>
    <w:rsid w:val="002104CC"/>
    <w:rsid w:val="00223E06"/>
    <w:rsid w:val="00226FD5"/>
    <w:rsid w:val="00233735"/>
    <w:rsid w:val="0025686D"/>
    <w:rsid w:val="0026270C"/>
    <w:rsid w:val="00266CAC"/>
    <w:rsid w:val="002824A7"/>
    <w:rsid w:val="0028777B"/>
    <w:rsid w:val="00287A5A"/>
    <w:rsid w:val="002A0F64"/>
    <w:rsid w:val="002A6E8C"/>
    <w:rsid w:val="002C77D7"/>
    <w:rsid w:val="002D1457"/>
    <w:rsid w:val="002D6AF5"/>
    <w:rsid w:val="002D79D1"/>
    <w:rsid w:val="002F139F"/>
    <w:rsid w:val="002F79A3"/>
    <w:rsid w:val="00301EF8"/>
    <w:rsid w:val="00305B97"/>
    <w:rsid w:val="00323BBA"/>
    <w:rsid w:val="00331A04"/>
    <w:rsid w:val="00333CD2"/>
    <w:rsid w:val="00340C3B"/>
    <w:rsid w:val="00352E95"/>
    <w:rsid w:val="00354822"/>
    <w:rsid w:val="003561B8"/>
    <w:rsid w:val="00360F12"/>
    <w:rsid w:val="00361277"/>
    <w:rsid w:val="003659F8"/>
    <w:rsid w:val="00366591"/>
    <w:rsid w:val="00387E9A"/>
    <w:rsid w:val="0039127C"/>
    <w:rsid w:val="003935F2"/>
    <w:rsid w:val="00395DA1"/>
    <w:rsid w:val="003A5014"/>
    <w:rsid w:val="003B3166"/>
    <w:rsid w:val="003B5294"/>
    <w:rsid w:val="003F0CB1"/>
    <w:rsid w:val="00410659"/>
    <w:rsid w:val="00415145"/>
    <w:rsid w:val="004429E3"/>
    <w:rsid w:val="004570F0"/>
    <w:rsid w:val="00477015"/>
    <w:rsid w:val="004870CD"/>
    <w:rsid w:val="004942FB"/>
    <w:rsid w:val="0049698F"/>
    <w:rsid w:val="004B0665"/>
    <w:rsid w:val="004B4FA5"/>
    <w:rsid w:val="004B7D6A"/>
    <w:rsid w:val="004C4BE2"/>
    <w:rsid w:val="004C6D92"/>
    <w:rsid w:val="004D61D0"/>
    <w:rsid w:val="004F4B46"/>
    <w:rsid w:val="00500417"/>
    <w:rsid w:val="00501A4F"/>
    <w:rsid w:val="005247AE"/>
    <w:rsid w:val="00524F0D"/>
    <w:rsid w:val="005344B4"/>
    <w:rsid w:val="00536EC4"/>
    <w:rsid w:val="0053737B"/>
    <w:rsid w:val="00540EB3"/>
    <w:rsid w:val="00542947"/>
    <w:rsid w:val="00543723"/>
    <w:rsid w:val="005464FD"/>
    <w:rsid w:val="00556E13"/>
    <w:rsid w:val="00583E02"/>
    <w:rsid w:val="005860DA"/>
    <w:rsid w:val="005B0DB3"/>
    <w:rsid w:val="005B360F"/>
    <w:rsid w:val="005B4E68"/>
    <w:rsid w:val="005C65BA"/>
    <w:rsid w:val="005C6B71"/>
    <w:rsid w:val="005D492E"/>
    <w:rsid w:val="0060128D"/>
    <w:rsid w:val="00602557"/>
    <w:rsid w:val="006143DF"/>
    <w:rsid w:val="006426BD"/>
    <w:rsid w:val="0064337B"/>
    <w:rsid w:val="0065141C"/>
    <w:rsid w:val="00657BD5"/>
    <w:rsid w:val="00670D4C"/>
    <w:rsid w:val="006769A5"/>
    <w:rsid w:val="00684654"/>
    <w:rsid w:val="00684824"/>
    <w:rsid w:val="00685841"/>
    <w:rsid w:val="006907FB"/>
    <w:rsid w:val="006E4990"/>
    <w:rsid w:val="007226BA"/>
    <w:rsid w:val="007406A5"/>
    <w:rsid w:val="00756331"/>
    <w:rsid w:val="00762DFC"/>
    <w:rsid w:val="007745ED"/>
    <w:rsid w:val="007851CF"/>
    <w:rsid w:val="0078787F"/>
    <w:rsid w:val="0079626F"/>
    <w:rsid w:val="007A0A82"/>
    <w:rsid w:val="007C07E7"/>
    <w:rsid w:val="007C52EF"/>
    <w:rsid w:val="007C613C"/>
    <w:rsid w:val="007D4AF1"/>
    <w:rsid w:val="007E03B7"/>
    <w:rsid w:val="007E24E5"/>
    <w:rsid w:val="007E3D35"/>
    <w:rsid w:val="008137F5"/>
    <w:rsid w:val="00817D93"/>
    <w:rsid w:val="008235C3"/>
    <w:rsid w:val="0082689F"/>
    <w:rsid w:val="00826C9F"/>
    <w:rsid w:val="00832112"/>
    <w:rsid w:val="008406EA"/>
    <w:rsid w:val="0084143B"/>
    <w:rsid w:val="008442D2"/>
    <w:rsid w:val="00855D40"/>
    <w:rsid w:val="008677C9"/>
    <w:rsid w:val="00875DCF"/>
    <w:rsid w:val="00892A8E"/>
    <w:rsid w:val="008A04A4"/>
    <w:rsid w:val="008C13E2"/>
    <w:rsid w:val="008C49A8"/>
    <w:rsid w:val="008E6019"/>
    <w:rsid w:val="008F63CD"/>
    <w:rsid w:val="00900E00"/>
    <w:rsid w:val="0090116D"/>
    <w:rsid w:val="00912ACD"/>
    <w:rsid w:val="0091674A"/>
    <w:rsid w:val="00916BD1"/>
    <w:rsid w:val="0092184B"/>
    <w:rsid w:val="00922F8A"/>
    <w:rsid w:val="009305AC"/>
    <w:rsid w:val="00931071"/>
    <w:rsid w:val="00933303"/>
    <w:rsid w:val="00940E7E"/>
    <w:rsid w:val="00944938"/>
    <w:rsid w:val="00956A47"/>
    <w:rsid w:val="00974352"/>
    <w:rsid w:val="00975189"/>
    <w:rsid w:val="009937C4"/>
    <w:rsid w:val="009B7352"/>
    <w:rsid w:val="009C2206"/>
    <w:rsid w:val="009C5CD4"/>
    <w:rsid w:val="009D5704"/>
    <w:rsid w:val="00A00763"/>
    <w:rsid w:val="00A15859"/>
    <w:rsid w:val="00A15D2F"/>
    <w:rsid w:val="00A212BC"/>
    <w:rsid w:val="00A26E3A"/>
    <w:rsid w:val="00A31A76"/>
    <w:rsid w:val="00A6070A"/>
    <w:rsid w:val="00A65485"/>
    <w:rsid w:val="00A7449F"/>
    <w:rsid w:val="00A8547E"/>
    <w:rsid w:val="00AD0642"/>
    <w:rsid w:val="00AE6B26"/>
    <w:rsid w:val="00AF2462"/>
    <w:rsid w:val="00B008F1"/>
    <w:rsid w:val="00B043D1"/>
    <w:rsid w:val="00B14FCB"/>
    <w:rsid w:val="00B174CF"/>
    <w:rsid w:val="00B2500F"/>
    <w:rsid w:val="00B55236"/>
    <w:rsid w:val="00B738D9"/>
    <w:rsid w:val="00B8567B"/>
    <w:rsid w:val="00B86DE3"/>
    <w:rsid w:val="00BA02D5"/>
    <w:rsid w:val="00BA1C28"/>
    <w:rsid w:val="00BA5793"/>
    <w:rsid w:val="00BB6079"/>
    <w:rsid w:val="00BC0A56"/>
    <w:rsid w:val="00BE4DB8"/>
    <w:rsid w:val="00BF6254"/>
    <w:rsid w:val="00BF779D"/>
    <w:rsid w:val="00C33A15"/>
    <w:rsid w:val="00C36946"/>
    <w:rsid w:val="00C36C8F"/>
    <w:rsid w:val="00C36DA9"/>
    <w:rsid w:val="00C3795C"/>
    <w:rsid w:val="00C415F0"/>
    <w:rsid w:val="00C41BAE"/>
    <w:rsid w:val="00C41C94"/>
    <w:rsid w:val="00C434CF"/>
    <w:rsid w:val="00C4677B"/>
    <w:rsid w:val="00C5151A"/>
    <w:rsid w:val="00C679AC"/>
    <w:rsid w:val="00C709A1"/>
    <w:rsid w:val="00C821B4"/>
    <w:rsid w:val="00CB57F7"/>
    <w:rsid w:val="00CC7E81"/>
    <w:rsid w:val="00CD208F"/>
    <w:rsid w:val="00D065DE"/>
    <w:rsid w:val="00D221E5"/>
    <w:rsid w:val="00D22B05"/>
    <w:rsid w:val="00D31EBB"/>
    <w:rsid w:val="00D37B32"/>
    <w:rsid w:val="00D42C11"/>
    <w:rsid w:val="00D45028"/>
    <w:rsid w:val="00D661D2"/>
    <w:rsid w:val="00D71E6F"/>
    <w:rsid w:val="00D73A05"/>
    <w:rsid w:val="00D820D2"/>
    <w:rsid w:val="00D823B2"/>
    <w:rsid w:val="00D86EB0"/>
    <w:rsid w:val="00D964CC"/>
    <w:rsid w:val="00DA6B7C"/>
    <w:rsid w:val="00DB1A0C"/>
    <w:rsid w:val="00DC0EC6"/>
    <w:rsid w:val="00DC60D3"/>
    <w:rsid w:val="00DE1B8E"/>
    <w:rsid w:val="00E15F07"/>
    <w:rsid w:val="00E32AC5"/>
    <w:rsid w:val="00E33761"/>
    <w:rsid w:val="00E40265"/>
    <w:rsid w:val="00E43810"/>
    <w:rsid w:val="00E51446"/>
    <w:rsid w:val="00E6617D"/>
    <w:rsid w:val="00E67909"/>
    <w:rsid w:val="00E729AE"/>
    <w:rsid w:val="00E75923"/>
    <w:rsid w:val="00E90687"/>
    <w:rsid w:val="00E92884"/>
    <w:rsid w:val="00E947E7"/>
    <w:rsid w:val="00E96C86"/>
    <w:rsid w:val="00EB7285"/>
    <w:rsid w:val="00EC49C1"/>
    <w:rsid w:val="00EE41F7"/>
    <w:rsid w:val="00EF46DB"/>
    <w:rsid w:val="00EF7947"/>
    <w:rsid w:val="00F06D64"/>
    <w:rsid w:val="00F13DE8"/>
    <w:rsid w:val="00F17FFC"/>
    <w:rsid w:val="00F211A2"/>
    <w:rsid w:val="00F420E6"/>
    <w:rsid w:val="00F45129"/>
    <w:rsid w:val="00F460AC"/>
    <w:rsid w:val="00F52D3D"/>
    <w:rsid w:val="00F641BF"/>
    <w:rsid w:val="00F7158B"/>
    <w:rsid w:val="00FA17BC"/>
    <w:rsid w:val="00FB5411"/>
    <w:rsid w:val="00FB55D9"/>
    <w:rsid w:val="00FB65F0"/>
    <w:rsid w:val="00FC0368"/>
    <w:rsid w:val="00FC5FBB"/>
    <w:rsid w:val="00FD230B"/>
    <w:rsid w:val="00FD6C78"/>
    <w:rsid w:val="00FF2A54"/>
    <w:rsid w:val="00FF5CF5"/>
    <w:rsid w:val="00FF609B"/>
    <w:rsid w:val="01A7074B"/>
    <w:rsid w:val="01F66ABD"/>
    <w:rsid w:val="028B36A9"/>
    <w:rsid w:val="02F36BCA"/>
    <w:rsid w:val="03092820"/>
    <w:rsid w:val="04447FB3"/>
    <w:rsid w:val="04471852"/>
    <w:rsid w:val="044E498E"/>
    <w:rsid w:val="04A70542"/>
    <w:rsid w:val="04C47F9E"/>
    <w:rsid w:val="05663F59"/>
    <w:rsid w:val="05776166"/>
    <w:rsid w:val="06436049"/>
    <w:rsid w:val="069817ED"/>
    <w:rsid w:val="06CB676A"/>
    <w:rsid w:val="071B7485"/>
    <w:rsid w:val="07807391"/>
    <w:rsid w:val="07D30B99"/>
    <w:rsid w:val="08640C24"/>
    <w:rsid w:val="08D134AC"/>
    <w:rsid w:val="0942334E"/>
    <w:rsid w:val="09B41737"/>
    <w:rsid w:val="0B100BEF"/>
    <w:rsid w:val="0B41349E"/>
    <w:rsid w:val="0B697506"/>
    <w:rsid w:val="0BB4757E"/>
    <w:rsid w:val="0C632FA1"/>
    <w:rsid w:val="0CC779D3"/>
    <w:rsid w:val="0D3E3F96"/>
    <w:rsid w:val="0D68769B"/>
    <w:rsid w:val="0D9B18C4"/>
    <w:rsid w:val="0E0E1264"/>
    <w:rsid w:val="0E1023A2"/>
    <w:rsid w:val="0EBE6BB4"/>
    <w:rsid w:val="0F3E69DE"/>
    <w:rsid w:val="0F492922"/>
    <w:rsid w:val="0FB62C97"/>
    <w:rsid w:val="102F10E9"/>
    <w:rsid w:val="10521CAA"/>
    <w:rsid w:val="10914580"/>
    <w:rsid w:val="112E0021"/>
    <w:rsid w:val="114A0BD3"/>
    <w:rsid w:val="11A72525"/>
    <w:rsid w:val="11FF376C"/>
    <w:rsid w:val="125C296C"/>
    <w:rsid w:val="13CC1D73"/>
    <w:rsid w:val="141B23B3"/>
    <w:rsid w:val="14757D15"/>
    <w:rsid w:val="14EE4EEE"/>
    <w:rsid w:val="153D4CD7"/>
    <w:rsid w:val="15866F2A"/>
    <w:rsid w:val="15F555B1"/>
    <w:rsid w:val="16664381"/>
    <w:rsid w:val="17171557"/>
    <w:rsid w:val="172A36BB"/>
    <w:rsid w:val="17557C17"/>
    <w:rsid w:val="178D444E"/>
    <w:rsid w:val="19C92FDD"/>
    <w:rsid w:val="19CC03D7"/>
    <w:rsid w:val="1A2A5D67"/>
    <w:rsid w:val="1AFA7C88"/>
    <w:rsid w:val="1B4852DD"/>
    <w:rsid w:val="1B612DA1"/>
    <w:rsid w:val="1B684130"/>
    <w:rsid w:val="1BC04531"/>
    <w:rsid w:val="1C8C20A0"/>
    <w:rsid w:val="1D3A21F3"/>
    <w:rsid w:val="1D3F35B6"/>
    <w:rsid w:val="1E5038EC"/>
    <w:rsid w:val="1E6F1C79"/>
    <w:rsid w:val="1EF108E0"/>
    <w:rsid w:val="1FB01237"/>
    <w:rsid w:val="1FE305D3"/>
    <w:rsid w:val="20BB11A5"/>
    <w:rsid w:val="21935C7E"/>
    <w:rsid w:val="227C7116"/>
    <w:rsid w:val="22D12F02"/>
    <w:rsid w:val="22FD3CF7"/>
    <w:rsid w:val="2369138D"/>
    <w:rsid w:val="23E629DD"/>
    <w:rsid w:val="27893DAB"/>
    <w:rsid w:val="27C2146A"/>
    <w:rsid w:val="29C54E43"/>
    <w:rsid w:val="29FF65A7"/>
    <w:rsid w:val="2A30050E"/>
    <w:rsid w:val="2A4915D0"/>
    <w:rsid w:val="2A5341FD"/>
    <w:rsid w:val="2AA131BA"/>
    <w:rsid w:val="2ACB6489"/>
    <w:rsid w:val="2ADB2B70"/>
    <w:rsid w:val="2AFD25F4"/>
    <w:rsid w:val="2B7F799F"/>
    <w:rsid w:val="2BEA2467"/>
    <w:rsid w:val="2CAD346E"/>
    <w:rsid w:val="2DD23B6B"/>
    <w:rsid w:val="2DF53F49"/>
    <w:rsid w:val="2E3D31FA"/>
    <w:rsid w:val="2EBE07DF"/>
    <w:rsid w:val="2F9257C7"/>
    <w:rsid w:val="2FDC344C"/>
    <w:rsid w:val="30977539"/>
    <w:rsid w:val="30EE1123"/>
    <w:rsid w:val="31562849"/>
    <w:rsid w:val="31653193"/>
    <w:rsid w:val="31813D45"/>
    <w:rsid w:val="31B163D9"/>
    <w:rsid w:val="31C972B1"/>
    <w:rsid w:val="31FB7654"/>
    <w:rsid w:val="322E7180"/>
    <w:rsid w:val="32AC4DF2"/>
    <w:rsid w:val="32D54349"/>
    <w:rsid w:val="334119DE"/>
    <w:rsid w:val="33DB773D"/>
    <w:rsid w:val="33E07C5F"/>
    <w:rsid w:val="345F0C0E"/>
    <w:rsid w:val="35C668A9"/>
    <w:rsid w:val="36A858D0"/>
    <w:rsid w:val="36E56B24"/>
    <w:rsid w:val="378D6FA0"/>
    <w:rsid w:val="37D50947"/>
    <w:rsid w:val="38B22CB8"/>
    <w:rsid w:val="39B27192"/>
    <w:rsid w:val="3A0948D8"/>
    <w:rsid w:val="3A145757"/>
    <w:rsid w:val="3A6B55B0"/>
    <w:rsid w:val="3AAA66ED"/>
    <w:rsid w:val="3AC4449D"/>
    <w:rsid w:val="3AE27B55"/>
    <w:rsid w:val="3BA24FE4"/>
    <w:rsid w:val="3BE20F5A"/>
    <w:rsid w:val="3C5C33E5"/>
    <w:rsid w:val="3CFE449C"/>
    <w:rsid w:val="3DB72FC9"/>
    <w:rsid w:val="3EAB0654"/>
    <w:rsid w:val="3EFE0783"/>
    <w:rsid w:val="3F6251B6"/>
    <w:rsid w:val="40756571"/>
    <w:rsid w:val="4081166C"/>
    <w:rsid w:val="40923879"/>
    <w:rsid w:val="40A62E81"/>
    <w:rsid w:val="40AC3F55"/>
    <w:rsid w:val="40FA6487"/>
    <w:rsid w:val="4103594A"/>
    <w:rsid w:val="415C4A5D"/>
    <w:rsid w:val="41935E97"/>
    <w:rsid w:val="427D5E63"/>
    <w:rsid w:val="43335F8B"/>
    <w:rsid w:val="433F136A"/>
    <w:rsid w:val="43614A2D"/>
    <w:rsid w:val="43C57AC2"/>
    <w:rsid w:val="446C43E1"/>
    <w:rsid w:val="4513485D"/>
    <w:rsid w:val="45E33AAC"/>
    <w:rsid w:val="463A4797"/>
    <w:rsid w:val="46773F28"/>
    <w:rsid w:val="468E063F"/>
    <w:rsid w:val="47321912"/>
    <w:rsid w:val="478A1A03"/>
    <w:rsid w:val="482470E4"/>
    <w:rsid w:val="48A95C04"/>
    <w:rsid w:val="48BB76E5"/>
    <w:rsid w:val="493C25D4"/>
    <w:rsid w:val="49BE56DF"/>
    <w:rsid w:val="4B9112FE"/>
    <w:rsid w:val="4BEC277D"/>
    <w:rsid w:val="4C213D03"/>
    <w:rsid w:val="4CA109F8"/>
    <w:rsid w:val="4D1B69A4"/>
    <w:rsid w:val="4DC46900"/>
    <w:rsid w:val="4E1C29D4"/>
    <w:rsid w:val="4E296E9F"/>
    <w:rsid w:val="4E9609D8"/>
    <w:rsid w:val="4EB42C0C"/>
    <w:rsid w:val="4F3B332E"/>
    <w:rsid w:val="4F5A37B4"/>
    <w:rsid w:val="50577CF3"/>
    <w:rsid w:val="506444A8"/>
    <w:rsid w:val="51E1640E"/>
    <w:rsid w:val="521938D8"/>
    <w:rsid w:val="523A78CD"/>
    <w:rsid w:val="5295561F"/>
    <w:rsid w:val="52B80AFC"/>
    <w:rsid w:val="54210D44"/>
    <w:rsid w:val="5448449A"/>
    <w:rsid w:val="54496F29"/>
    <w:rsid w:val="54B27BEE"/>
    <w:rsid w:val="54EC2418"/>
    <w:rsid w:val="55023F28"/>
    <w:rsid w:val="55081F04"/>
    <w:rsid w:val="5524690D"/>
    <w:rsid w:val="55CF657E"/>
    <w:rsid w:val="56D55E16"/>
    <w:rsid w:val="56F20776"/>
    <w:rsid w:val="572D5C52"/>
    <w:rsid w:val="5814471C"/>
    <w:rsid w:val="581666E6"/>
    <w:rsid w:val="58313520"/>
    <w:rsid w:val="58564D34"/>
    <w:rsid w:val="5875340D"/>
    <w:rsid w:val="58BC4C93"/>
    <w:rsid w:val="59340ABF"/>
    <w:rsid w:val="59981AA8"/>
    <w:rsid w:val="59B42E3F"/>
    <w:rsid w:val="59D86349"/>
    <w:rsid w:val="5AB126F6"/>
    <w:rsid w:val="5ADB75DF"/>
    <w:rsid w:val="5BD448EE"/>
    <w:rsid w:val="5C013209"/>
    <w:rsid w:val="5D555CF6"/>
    <w:rsid w:val="5D83481E"/>
    <w:rsid w:val="5E4F4700"/>
    <w:rsid w:val="5EFD23AE"/>
    <w:rsid w:val="5F347C5D"/>
    <w:rsid w:val="60695F4D"/>
    <w:rsid w:val="609A52AA"/>
    <w:rsid w:val="60F141BF"/>
    <w:rsid w:val="61406582"/>
    <w:rsid w:val="616404C2"/>
    <w:rsid w:val="6189617B"/>
    <w:rsid w:val="61E84C4F"/>
    <w:rsid w:val="625473BB"/>
    <w:rsid w:val="62D17DD9"/>
    <w:rsid w:val="630F26B0"/>
    <w:rsid w:val="639F3A33"/>
    <w:rsid w:val="649015CE"/>
    <w:rsid w:val="64DF1C74"/>
    <w:rsid w:val="65901886"/>
    <w:rsid w:val="66457F15"/>
    <w:rsid w:val="664B6C83"/>
    <w:rsid w:val="66524D8D"/>
    <w:rsid w:val="66823B40"/>
    <w:rsid w:val="668F5FE1"/>
    <w:rsid w:val="670249FF"/>
    <w:rsid w:val="677F7E04"/>
    <w:rsid w:val="68957D77"/>
    <w:rsid w:val="68EE3CD4"/>
    <w:rsid w:val="69034A64"/>
    <w:rsid w:val="694D5CE0"/>
    <w:rsid w:val="69A022B3"/>
    <w:rsid w:val="69D87C9F"/>
    <w:rsid w:val="6A2922A9"/>
    <w:rsid w:val="6ABE26E3"/>
    <w:rsid w:val="6B431989"/>
    <w:rsid w:val="6B96396E"/>
    <w:rsid w:val="6B9A5C0B"/>
    <w:rsid w:val="6BAA3389"/>
    <w:rsid w:val="6BDC5CA0"/>
    <w:rsid w:val="6C342C0F"/>
    <w:rsid w:val="6C915AAD"/>
    <w:rsid w:val="6CF67CF4"/>
    <w:rsid w:val="6EB97775"/>
    <w:rsid w:val="6F991C7F"/>
    <w:rsid w:val="6FE0165C"/>
    <w:rsid w:val="703D6AAE"/>
    <w:rsid w:val="70636758"/>
    <w:rsid w:val="707A1AB0"/>
    <w:rsid w:val="71573B9F"/>
    <w:rsid w:val="71B44B4E"/>
    <w:rsid w:val="71EA3FC4"/>
    <w:rsid w:val="72444124"/>
    <w:rsid w:val="72A5093A"/>
    <w:rsid w:val="72DD00D4"/>
    <w:rsid w:val="737C78ED"/>
    <w:rsid w:val="75862CA5"/>
    <w:rsid w:val="759A405B"/>
    <w:rsid w:val="75D457BF"/>
    <w:rsid w:val="765863F0"/>
    <w:rsid w:val="76654669"/>
    <w:rsid w:val="775F555C"/>
    <w:rsid w:val="77672662"/>
    <w:rsid w:val="77D55B8F"/>
    <w:rsid w:val="78462278"/>
    <w:rsid w:val="78BE62B2"/>
    <w:rsid w:val="78E71CAD"/>
    <w:rsid w:val="791954AD"/>
    <w:rsid w:val="79E93803"/>
    <w:rsid w:val="79E955B1"/>
    <w:rsid w:val="7A0A5C53"/>
    <w:rsid w:val="7A24483B"/>
    <w:rsid w:val="7A886C4E"/>
    <w:rsid w:val="7A965738"/>
    <w:rsid w:val="7ABE2599"/>
    <w:rsid w:val="7B491E2D"/>
    <w:rsid w:val="7BC40083"/>
    <w:rsid w:val="7C442F72"/>
    <w:rsid w:val="7C887617"/>
    <w:rsid w:val="7CC12815"/>
    <w:rsid w:val="7D056BA5"/>
    <w:rsid w:val="7D0B32EF"/>
    <w:rsid w:val="7D8201F6"/>
    <w:rsid w:val="7DFD162B"/>
    <w:rsid w:val="7E372D8F"/>
    <w:rsid w:val="7E7E5474"/>
    <w:rsid w:val="7FB13863"/>
    <w:rsid w:val="7FF16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szCs w:val="18"/>
    </w:rPr>
  </w:style>
  <w:style w:type="paragraph" w:styleId="3">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7">
    <w:name w:val="fontstyle01"/>
    <w:basedOn w:val="6"/>
    <w:autoRedefine/>
    <w:qFormat/>
    <w:uiPriority w:val="0"/>
    <w:rPr>
      <w:rFonts w:hint="eastAsia" w:ascii="宋体" w:hAnsi="宋体" w:eastAsia="宋体"/>
      <w:color w:val="000000"/>
      <w:sz w:val="32"/>
      <w:szCs w:val="32"/>
    </w:rPr>
  </w:style>
  <w:style w:type="character" w:customStyle="1" w:styleId="8">
    <w:name w:val="页眉 字符"/>
    <w:basedOn w:val="6"/>
    <w:link w:val="3"/>
    <w:autoRedefine/>
    <w:qFormat/>
    <w:uiPriority w:val="0"/>
    <w:rPr>
      <w:rFonts w:asciiTheme="minorHAnsi" w:hAnsiTheme="minorHAnsi" w:eastAsiaTheme="minorEastAsia" w:cstheme="minorBidi"/>
      <w:kern w:val="2"/>
      <w:sz w:val="18"/>
      <w:szCs w:val="18"/>
    </w:rPr>
  </w:style>
  <w:style w:type="character" w:customStyle="1" w:styleId="9">
    <w:name w:val="页脚 字符"/>
    <w:basedOn w:val="6"/>
    <w:link w:val="2"/>
    <w:autoRedefine/>
    <w:qFormat/>
    <w:uiPriority w:val="0"/>
    <w:rPr>
      <w:rFonts w:asciiTheme="minorHAnsi" w:hAnsiTheme="minorHAnsi" w:eastAsiaTheme="minorEastAsia" w:cstheme="minorBidi"/>
      <w:kern w:val="2"/>
      <w:sz w:val="18"/>
      <w:szCs w:val="18"/>
    </w:rPr>
  </w:style>
  <w:style w:type="paragraph" w:customStyle="1" w:styleId="10">
    <w:name w:val="Other|1"/>
    <w:basedOn w:val="1"/>
    <w:autoRedefine/>
    <w:qFormat/>
    <w:uiPriority w:val="0"/>
    <w:pPr>
      <w:widowControl w:val="0"/>
      <w:shd w:val="clear" w:color="auto" w:fill="auto"/>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2464</Words>
  <Characters>2560</Characters>
  <Lines>20</Lines>
  <Paragraphs>5</Paragraphs>
  <TotalTime>1</TotalTime>
  <ScaleCrop>false</ScaleCrop>
  <LinksUpToDate>false</LinksUpToDate>
  <CharactersWithSpaces>2564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2022-04-24T11:01:00Z</dcterms:created>
  <dc:creator>WCL</dc:creator>
  <cp:lastModifiedBy>姚伟旺</cp:lastModifiedBy>
  <dcterms:modified xsi:type="dcterms:W3CDTF">2026-03-31T02:36:26Z</dcterms:modified>
  <cp:revision>279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F6F48595AA2D4EEF90C834F279C67C26</vt:lpwstr>
  </property>
  <property fmtid="{D5CDD505-2E9C-101B-9397-08002B2CF9AE}" pid="4" name="KSOTemplateDocerSaveRecord">
    <vt:lpwstr>eyJoZGlkIjoiYjU3ZWM2YjYwMWU5ZjVmMWZhNzg5NTQ5MmE3MGZiZTAiLCJ1c2VySWQiOiIyODQ2MTYyMTcifQ==</vt:lpwstr>
  </property>
</Properties>
</file>