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60" w:lineRule="exact"/>
        <w:jc w:val="left"/>
        <w:rPr>
          <w:rFonts w:ascii="仿宋_GB2312" w:eastAsia="仿宋_GB2312"/>
          <w:b/>
          <w:sz w:val="24"/>
        </w:rPr>
      </w:pPr>
      <w:r>
        <w:rPr>
          <w:rFonts w:hint="eastAsia" w:ascii="仿宋_GB2312" w:eastAsia="仿宋_GB2312"/>
          <w:b/>
          <w:sz w:val="24"/>
        </w:rPr>
        <w:t>附件</w:t>
      </w:r>
    </w:p>
    <w:p>
      <w:pPr>
        <w:shd w:val="clear" w:color="auto" w:fill="FFFFFF"/>
        <w:spacing w:line="460" w:lineRule="exact"/>
        <w:jc w:val="center"/>
        <w:rPr>
          <w:rFonts w:ascii="仿宋_GB2312" w:eastAsia="仿宋_GB2312"/>
          <w:b/>
          <w:sz w:val="24"/>
        </w:rPr>
      </w:pPr>
      <w:r>
        <w:rPr>
          <w:rFonts w:hint="eastAsia" w:ascii="仿宋_GB2312" w:eastAsia="仿宋_GB2312"/>
          <w:b/>
          <w:sz w:val="28"/>
          <w:szCs w:val="28"/>
          <w:u w:val="single"/>
        </w:rPr>
        <w:t xml:space="preserve"> </w:t>
      </w:r>
      <w:r>
        <w:rPr>
          <w:rFonts w:hint="eastAsia" w:ascii="仿宋_GB2312" w:eastAsia="仿宋_GB2312"/>
          <w:b/>
          <w:sz w:val="28"/>
          <w:szCs w:val="28"/>
          <w:u w:val="single"/>
          <w:lang w:eastAsia="zh-CN"/>
        </w:rPr>
        <w:t>张家路西延工程</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rPr>
        <w:t>（项目名称）招标</w:t>
      </w:r>
    </w:p>
    <w:p>
      <w:pPr>
        <w:shd w:val="clear" w:color="auto" w:fill="FFFFFF"/>
        <w:spacing w:line="460" w:lineRule="exact"/>
        <w:jc w:val="center"/>
        <w:rPr>
          <w:rFonts w:ascii="仿宋_GB2312" w:eastAsia="仿宋_GB2312"/>
          <w:b/>
          <w:sz w:val="24"/>
        </w:rPr>
      </w:pPr>
      <w:r>
        <w:rPr>
          <w:rFonts w:hint="eastAsia" w:ascii="仿宋_GB2312" w:eastAsia="仿宋_GB2312"/>
          <w:b/>
          <w:sz w:val="36"/>
          <w:szCs w:val="36"/>
        </w:rPr>
        <w:t>资格审查及评标办法</w:t>
      </w:r>
    </w:p>
    <w:p>
      <w:pPr>
        <w:shd w:val="clear" w:color="auto" w:fill="FFFFFF"/>
        <w:spacing w:line="460" w:lineRule="exact"/>
        <w:jc w:val="left"/>
        <w:rPr>
          <w:rFonts w:ascii="仿宋_GB2312" w:hAnsi="宋体" w:eastAsia="仿宋_GB2312"/>
          <w:b/>
          <w:sz w:val="28"/>
          <w:szCs w:val="28"/>
        </w:rPr>
      </w:pPr>
      <w:r>
        <w:rPr>
          <w:rFonts w:hint="eastAsia" w:ascii="仿宋_GB2312" w:hAnsi="宋体" w:eastAsia="仿宋_GB2312"/>
          <w:b/>
          <w:sz w:val="28"/>
          <w:szCs w:val="28"/>
        </w:rPr>
        <w:t>一、资格审查条件及标准</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 资格审查方法：</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1.1资格审查方式：</w:t>
      </w:r>
      <w:r>
        <w:rPr>
          <w:rFonts w:hint="eastAsia" w:ascii="仿宋_GB2312" w:hAnsi="宋体" w:eastAsia="仿宋_GB2312"/>
          <w:sz w:val="28"/>
          <w:szCs w:val="28"/>
        </w:rPr>
        <w:sym w:font="Wingdings" w:char="F0FE"/>
      </w:r>
      <w:r>
        <w:rPr>
          <w:rFonts w:hint="eastAsia" w:ascii="仿宋_GB2312" w:hAnsi="宋体" w:eastAsia="仿宋_GB2312"/>
          <w:sz w:val="28"/>
          <w:szCs w:val="28"/>
        </w:rPr>
        <w:t>资格后审 □资格预审</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1.2资格审查入围方法：</w:t>
      </w:r>
      <w:r>
        <w:rPr>
          <w:rFonts w:hint="eastAsia" w:ascii="仿宋_GB2312" w:hAnsi="宋体" w:eastAsia="仿宋_GB2312"/>
          <w:sz w:val="28"/>
          <w:szCs w:val="28"/>
        </w:rPr>
        <w:sym w:font="Wingdings" w:char="F0FE"/>
      </w:r>
      <w:r>
        <w:rPr>
          <w:rFonts w:hint="eastAsia" w:ascii="仿宋_GB2312" w:hAnsi="宋体" w:eastAsia="仿宋_GB2312"/>
          <w:sz w:val="28"/>
          <w:szCs w:val="28"/>
        </w:rPr>
        <w:t>合格制 □有限数量制</w:t>
      </w:r>
    </w:p>
    <w:p>
      <w:pPr>
        <w:shd w:val="clear" w:color="auto" w:fill="FFFFFF"/>
        <w:spacing w:line="460" w:lineRule="exact"/>
        <w:ind w:left="567" w:leftChars="136" w:hanging="281" w:hangingChars="100"/>
        <w:jc w:val="left"/>
        <w:textAlignment w:val="baseline"/>
        <w:rPr>
          <w:rFonts w:ascii="仿宋_GB2312" w:hAnsi="宋体" w:eastAsia="仿宋_GB2312"/>
          <w:sz w:val="28"/>
          <w:szCs w:val="28"/>
        </w:rPr>
      </w:pPr>
      <w:r>
        <w:rPr>
          <w:rFonts w:hint="eastAsia" w:ascii="仿宋_GB2312" w:hAnsi="宋体" w:eastAsia="仿宋_GB2312"/>
          <w:b/>
          <w:sz w:val="28"/>
          <w:szCs w:val="28"/>
        </w:rPr>
        <w:t>2. 投标申请人资格合格条件：</w:t>
      </w:r>
      <w:r>
        <w:rPr>
          <w:rFonts w:hint="eastAsia" w:ascii="仿宋_GB2312" w:hAnsi="宋体" w:eastAsia="仿宋_GB2312"/>
          <w:b/>
          <w:sz w:val="28"/>
          <w:szCs w:val="28"/>
        </w:rPr>
        <w:br w:type="textWrapping"/>
      </w:r>
      <w:r>
        <w:rPr>
          <w:rFonts w:hint="eastAsia" w:ascii="仿宋_GB2312" w:hAnsi="宋体" w:eastAsia="仿宋_GB2312"/>
          <w:sz w:val="28"/>
          <w:szCs w:val="28"/>
        </w:rPr>
        <w:t>2.1具有独立订立合同的能力；</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2.2投标申请人资质类别和等级：见招标公告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sz w:val="28"/>
          <w:szCs w:val="28"/>
        </w:rPr>
        <w:t>2.3企业具备安全生产条件，并取得安全生产许可证（相关规定不作要求的除外）；</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2.4拟选派项目负责人资质类别等级或职称等级：见招标公告 </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宋体" w:hAnsi="宋体" w:eastAsia="仿宋_GB2312"/>
          <w:sz w:val="28"/>
          <w:szCs w:val="28"/>
        </w:rPr>
        <w:t> </w:t>
      </w:r>
      <w:r>
        <w:rPr>
          <w:rFonts w:hint="eastAsia" w:ascii="仿宋_GB2312" w:hAnsi="宋体" w:eastAsia="仿宋_GB2312"/>
          <w:sz w:val="28"/>
          <w:szCs w:val="28"/>
        </w:rPr>
        <w:br w:type="textWrapping"/>
      </w:r>
      <w:r>
        <w:rPr>
          <w:rFonts w:hint="eastAsia" w:ascii="仿宋_GB2312" w:hAnsi="宋体" w:eastAsia="仿宋_GB2312"/>
          <w:sz w:val="28"/>
          <w:szCs w:val="28"/>
        </w:rPr>
        <w:t>2.5拟选派项目负责人取得安全B类证书（相关规定不作要求的除外）；：</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2.6 项目主要管理人员关于在建工程的要求：</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2.6.1拟选派施工项目部负责人必须满足下列条件之一：</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2.6.1.1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项目负责人是非变更后未担任其他在建工程的主要管理人员。</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2.6.1.2</w:t>
      </w:r>
      <w:r>
        <w:rPr>
          <w:rFonts w:hint="eastAsia" w:ascii="仿宋_GB2312" w:hAnsi="宋体" w:eastAsia="仿宋_GB2312"/>
          <w:color w:val="FF0000"/>
          <w:sz w:val="28"/>
          <w:szCs w:val="28"/>
        </w:rPr>
        <w:t xml:space="preserve"> 拟选派</w:t>
      </w:r>
      <w:r>
        <w:rPr>
          <w:rFonts w:hint="eastAsia" w:ascii="仿宋_GB2312" w:hAnsi="宋体" w:eastAsia="仿宋_GB2312"/>
          <w:sz w:val="28"/>
          <w:szCs w:val="28"/>
        </w:rPr>
        <w:t>项目负责人是变更后未担任其他在建工程的主要管理人员,并且：原合同工期已满且变更备案之日已满6个月；或者，因非承包方原因致使工程项目停工超过120天，且按苏建招【2015】29号有关规定已经办理解除锁定备案事宜的;</w:t>
      </w:r>
      <w:r>
        <w:rPr>
          <w:rFonts w:hint="eastAsia" w:ascii="仿宋_GB2312" w:hAnsi="宋体" w:eastAsia="仿宋_GB2312"/>
          <w:color w:val="FF0000"/>
          <w:sz w:val="28"/>
          <w:szCs w:val="28"/>
        </w:rPr>
        <w:t>或者，因故不能按期开工超过6个月，且按苏建建管（2014）701号有关规定程序已解除锁定的。</w:t>
      </w:r>
    </w:p>
    <w:p>
      <w:pPr>
        <w:shd w:val="clear" w:color="auto" w:fill="FFFFFF"/>
        <w:spacing w:line="460" w:lineRule="exact"/>
        <w:ind w:firstLine="570"/>
        <w:jc w:val="left"/>
        <w:textAlignment w:val="baseline"/>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 xml:space="preserve">  2.6.1.3 </w:t>
      </w:r>
      <w:r>
        <w:rPr>
          <w:rFonts w:hint="eastAsia" w:ascii="仿宋_GB2312" w:hAnsi="宋体" w:eastAsia="仿宋_GB2312"/>
          <w:color w:val="FF0000"/>
          <w:sz w:val="28"/>
          <w:szCs w:val="28"/>
        </w:rPr>
        <w:t>拟选派</w:t>
      </w:r>
      <w:r>
        <w:rPr>
          <w:rFonts w:hint="eastAsia" w:ascii="仿宋_GB2312" w:hAnsi="宋体" w:eastAsia="仿宋_GB2312"/>
          <w:sz w:val="28"/>
          <w:szCs w:val="28"/>
        </w:rPr>
        <w:t>项目负责人有在建工程，但该在建工程与本次招标的工程属于同一工程项目、同一项目批文、同一施工地点分段发包或分期施工的情况。</w:t>
      </w:r>
    </w:p>
    <w:p>
      <w:pPr>
        <w:shd w:val="clear" w:color="auto" w:fill="FFFFFF"/>
        <w:spacing w:line="460" w:lineRule="exact"/>
        <w:ind w:firstLine="560" w:firstLineChars="200"/>
        <w:jc w:val="left"/>
        <w:textAlignment w:val="baseline"/>
        <w:rPr>
          <w:rFonts w:ascii="仿宋_GB2312" w:hAnsi="宋体" w:eastAsia="仿宋_GB2312"/>
          <w:sz w:val="28"/>
          <w:szCs w:val="28"/>
        </w:rPr>
      </w:pPr>
      <w:r>
        <w:rPr>
          <w:rFonts w:hint="eastAsia" w:ascii="仿宋_GB2312" w:hAnsi="宋体" w:eastAsia="仿宋_GB2312"/>
          <w:sz w:val="28"/>
          <w:szCs w:val="28"/>
        </w:rPr>
        <w:t>□  2.6.2.</w:t>
      </w:r>
      <w:r>
        <w:rPr>
          <w:rFonts w:hint="eastAsia" w:ascii="仿宋_GB2312" w:hAnsi="宋体" w:eastAsia="仿宋_GB2312"/>
          <w:color w:val="FF0000"/>
          <w:sz w:val="28"/>
          <w:szCs w:val="28"/>
        </w:rPr>
        <w:t>拟选派</w:t>
      </w:r>
      <w:r>
        <w:rPr>
          <w:rFonts w:hint="eastAsia" w:ascii="仿宋_GB2312" w:hAnsi="宋体" w:eastAsia="仿宋_GB2312"/>
          <w:sz w:val="28"/>
          <w:szCs w:val="28"/>
        </w:rPr>
        <w:t>项目监理机构主要人员如有在监工程，本次招标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不接受其投标。</w:t>
      </w:r>
    </w:p>
    <w:p>
      <w:pPr>
        <w:shd w:val="clear" w:color="auto" w:fill="FFFFFF"/>
        <w:spacing w:line="460" w:lineRule="exact"/>
        <w:jc w:val="left"/>
        <w:textAlignment w:val="baseline"/>
        <w:rPr>
          <w:rFonts w:ascii="仿宋_GB2312" w:hAnsi="宋体" w:eastAsia="仿宋_GB2312"/>
          <w:sz w:val="28"/>
          <w:szCs w:val="28"/>
        </w:rPr>
      </w:pPr>
      <w:r>
        <w:rPr>
          <w:rFonts w:hint="eastAsia" w:ascii="仿宋_GB2312" w:hAnsi="宋体" w:eastAsia="仿宋_GB2312"/>
          <w:sz w:val="28"/>
          <w:szCs w:val="28"/>
        </w:rPr>
        <w:t xml:space="preserve">    □ 接受其投标，但在提交的资格审查资料中，须提供在监工程建设单位出具的允许其参加本次招标的书面证明。</w:t>
      </w:r>
    </w:p>
    <w:p>
      <w:pPr>
        <w:shd w:val="clear" w:color="auto" w:fill="FFFFFF"/>
        <w:spacing w:line="460" w:lineRule="exact"/>
        <w:ind w:firstLine="1120" w:firstLineChars="400"/>
        <w:jc w:val="left"/>
        <w:textAlignment w:val="baseline"/>
        <w:rPr>
          <w:rFonts w:ascii="仿宋_GB2312" w:hAnsi="宋体" w:eastAsia="仿宋_GB2312"/>
          <w:sz w:val="28"/>
          <w:szCs w:val="28"/>
        </w:rPr>
      </w:pPr>
      <w:r>
        <w:rPr>
          <w:rFonts w:hint="eastAsia" w:ascii="仿宋_GB2312" w:hAnsi="宋体" w:eastAsia="仿宋_GB2312"/>
          <w:sz w:val="28"/>
          <w:szCs w:val="28"/>
        </w:rPr>
        <w:t>拟选派施工项目部主要负责人或项目监理机构主要人员如未按上述要求参加本工程投标，经查实后，招标人将取消其投标、中标资格，并报招投标监管机构按隐瞒在建工程不良行为处理。说明：投标人无在建工程认定依据：</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本条所称在建工程是指：处于中标人公告到合同约定的工程全部完成且验收合格期间内的工程。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注：绿化工程竣工验收后的养护期及绿化养护、管护工程无论合同期是否已满，不作为在建工程</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2.7拟选派项目主要管理人员必须是投标单位人员，参加资格审查时须提供投标单位近一年内（投标截止日起向前推12个月）为其办理的社会养老保险证明或社会养老保险承诺书。</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特殊人员按下列要求提供相关证明材料：</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2.7.1项目主要管理人员与投标单位法定代表人为同一人的，可不提供保险证明，但须提供工商营业执照。</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2.7.2退休人员但又在执业期内的，须提供社保部门出具的其在投标单位退休的退休证。</w:t>
      </w:r>
    </w:p>
    <w:p>
      <w:pPr>
        <w:shd w:val="clear" w:color="auto" w:fill="FFFFFF"/>
        <w:spacing w:line="460" w:lineRule="exact"/>
        <w:ind w:firstLine="560"/>
        <w:jc w:val="left"/>
        <w:textAlignment w:val="baseline"/>
        <w:rPr>
          <w:rFonts w:ascii="仿宋_GB2312" w:hAnsi="宋体" w:eastAsia="仿宋_GB2312"/>
          <w:b/>
          <w:sz w:val="28"/>
          <w:szCs w:val="28"/>
          <w:u w:val="single"/>
        </w:rPr>
      </w:pPr>
      <w:r>
        <w:rPr>
          <w:rFonts w:hint="eastAsia" w:ascii="仿宋_GB2312" w:hAnsi="宋体" w:eastAsia="仿宋_GB2312"/>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shd w:val="clear" w:color="auto" w:fill="FFFFFF"/>
        <w:spacing w:line="460" w:lineRule="exact"/>
        <w:ind w:firstLine="560"/>
        <w:jc w:val="left"/>
        <w:textAlignment w:val="baseline"/>
        <w:rPr>
          <w:rFonts w:ascii="仿宋_GB2312" w:hAnsi="宋体" w:eastAsia="仿宋_GB2312"/>
          <w:sz w:val="28"/>
          <w:szCs w:val="28"/>
        </w:rPr>
      </w:pPr>
      <w:r>
        <w:rPr>
          <w:rFonts w:hint="eastAsia" w:ascii="仿宋_GB2312" w:hAnsi="宋体" w:eastAsia="仿宋_GB2312"/>
          <w:sz w:val="28"/>
          <w:szCs w:val="28"/>
        </w:rPr>
        <w:t>2.8省外建筑施工企业须提供建设行政主管部门发放的《省外建筑施工企业资质核验书》。</w:t>
      </w:r>
    </w:p>
    <w:p>
      <w:pPr>
        <w:spacing w:line="460" w:lineRule="exact"/>
        <w:jc w:val="left"/>
        <w:rPr>
          <w:rFonts w:ascii="仿宋_GB2312" w:hAnsi="宋体" w:eastAsia="仿宋_GB2312"/>
          <w:sz w:val="28"/>
          <w:szCs w:val="28"/>
        </w:rPr>
      </w:pPr>
      <w:r>
        <w:rPr>
          <w:rFonts w:hint="eastAsia" w:ascii="仿宋_GB2312" w:hAnsi="宋体" w:eastAsia="仿宋_GB2312"/>
          <w:b/>
          <w:bCs/>
          <w:sz w:val="28"/>
          <w:szCs w:val="28"/>
        </w:rPr>
        <w:t>3、资格审查合格可选条件：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本次招标：</w:t>
      </w:r>
      <w:r>
        <w:rPr>
          <w:rFonts w:hint="eastAsia" w:ascii="仿宋_GB2312" w:hAnsi="宋体" w:eastAsia="仿宋_GB2312"/>
          <w:sz w:val="28"/>
          <w:szCs w:val="28"/>
        </w:rPr>
        <w:sym w:font="Wingdings" w:char="F0FE"/>
      </w:r>
      <w:r>
        <w:rPr>
          <w:rFonts w:hint="eastAsia" w:ascii="仿宋_GB2312" w:hAnsi="宋体" w:eastAsia="仿宋_GB2312"/>
          <w:sz w:val="28"/>
          <w:szCs w:val="28"/>
        </w:rPr>
        <w:t>无可选条件。</w:t>
      </w:r>
    </w:p>
    <w:p>
      <w:pPr>
        <w:spacing w:line="460" w:lineRule="exact"/>
        <w:ind w:firstLine="564"/>
        <w:jc w:val="left"/>
        <w:rPr>
          <w:rFonts w:ascii="仿宋_GB2312" w:hAnsi="宋体" w:eastAsia="仿宋_GB2312"/>
          <w:sz w:val="28"/>
          <w:szCs w:val="28"/>
        </w:rPr>
      </w:pPr>
      <w:r>
        <w:rPr>
          <w:rFonts w:hint="eastAsia" w:ascii="仿宋_GB2312" w:hAnsi="宋体" w:eastAsia="仿宋_GB2312"/>
          <w:sz w:val="28"/>
          <w:szCs w:val="28"/>
        </w:rPr>
        <w:t>□有可选条件：</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jc w:val="left"/>
        <w:rPr>
          <w:rFonts w:ascii="仿宋_GB2312" w:hAnsi="宋体" w:eastAsia="仿宋_GB2312"/>
          <w:b/>
          <w:sz w:val="28"/>
          <w:szCs w:val="28"/>
        </w:rPr>
      </w:pPr>
      <w:r>
        <w:rPr>
          <w:rFonts w:hint="eastAsia" w:ascii="仿宋_GB2312" w:hAnsi="宋体" w:eastAsia="仿宋_GB2312"/>
          <w:b/>
          <w:sz w:val="28"/>
          <w:szCs w:val="28"/>
        </w:rPr>
        <w:t>4、</w:t>
      </w:r>
      <w:r>
        <w:rPr>
          <w:rFonts w:hint="eastAsia" w:ascii="仿宋_GB2312" w:hAnsi="宋体" w:eastAsia="仿宋_GB2312"/>
          <w:b/>
          <w:bCs/>
          <w:sz w:val="28"/>
          <w:szCs w:val="28"/>
        </w:rPr>
        <w:t>投标申请人</w:t>
      </w:r>
      <w:r>
        <w:rPr>
          <w:rFonts w:hint="eastAsia" w:ascii="仿宋_GB2312" w:hAnsi="宋体" w:eastAsia="仿宋_GB2312"/>
          <w:b/>
          <w:sz w:val="28"/>
          <w:szCs w:val="28"/>
        </w:rPr>
        <w:t>其他条件</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 xml:space="preserve">4.1本次招标： </w:t>
      </w:r>
      <w:r>
        <w:rPr>
          <w:rFonts w:hint="eastAsia" w:ascii="仿宋_GB2312" w:hAnsi="宋体" w:eastAsia="仿宋_GB2312"/>
          <w:sz w:val="28"/>
          <w:szCs w:val="28"/>
        </w:rPr>
        <w:sym w:font="Wingdings" w:char="F0FE"/>
      </w:r>
      <w:r>
        <w:rPr>
          <w:rFonts w:hint="eastAsia" w:ascii="仿宋_GB2312" w:hAnsi="宋体" w:eastAsia="仿宋_GB2312"/>
          <w:sz w:val="28"/>
          <w:szCs w:val="28"/>
        </w:rPr>
        <w:t>不接受联合体投标。</w:t>
      </w:r>
    </w:p>
    <w:p>
      <w:pPr>
        <w:shd w:val="clear" w:color="auto" w:fill="FFFFFF"/>
        <w:spacing w:line="460" w:lineRule="exact"/>
        <w:ind w:firstLine="840" w:firstLineChars="300"/>
        <w:jc w:val="left"/>
        <w:rPr>
          <w:rFonts w:ascii="仿宋_GB2312" w:hAnsi="宋体" w:eastAsia="仿宋_GB2312"/>
          <w:sz w:val="28"/>
          <w:szCs w:val="28"/>
          <w:u w:val="single"/>
        </w:rPr>
      </w:pPr>
      <w:r>
        <w:rPr>
          <w:rFonts w:hint="eastAsia" w:ascii="仿宋_GB2312" w:hAnsi="宋体" w:eastAsia="仿宋_GB2312"/>
          <w:sz w:val="28"/>
          <w:szCs w:val="28"/>
        </w:rPr>
        <w:t>□接受联合体投标，但应满足下列要求并附有共同投标协议：</w:t>
      </w:r>
    </w:p>
    <w:p>
      <w:pPr>
        <w:shd w:val="clear" w:color="auto" w:fill="FFFFFF"/>
        <w:spacing w:line="46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4.2企业业绩、信誉：无不良行为；</w:t>
      </w:r>
      <w:r>
        <w:rPr>
          <w:rFonts w:hint="eastAsia" w:ascii="宋体" w:hAnsi="宋体" w:eastAsia="仿宋_GB2312"/>
          <w:sz w:val="28"/>
          <w:szCs w:val="28"/>
        </w:rPr>
        <w:t>     </w:t>
      </w:r>
      <w:r>
        <w:rPr>
          <w:rFonts w:hint="eastAsia" w:ascii="仿宋_GB2312" w:hAnsi="宋体" w:eastAsia="仿宋_GB2312"/>
          <w:sz w:val="28"/>
          <w:szCs w:val="28"/>
        </w:rPr>
        <w:t xml:space="preserve"> </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4.3项目负责人业绩、信誉：无不良行为；</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4.4未处于被责令停业、投标资格被取消或者财产被接管、冻结和破产状态；</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4.5企业没有因骗取中标或者严重违约以及发生重大工程质量、安全生产事故等违法违规问题，被有关部门暂停投标资格并在暂停期内的；</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4.6符合法律、法规规定的其他条件。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本条4.2、4.3、4.4、4.5款中所列涉及的不良行为和投标资格被取消或暂停的情形，招标人的认定依据为：《兴化</w:t>
      </w:r>
      <w:r>
        <w:rPr>
          <w:rFonts w:hint="eastAsia" w:ascii="仿宋_GB2312" w:hAnsi="宋体" w:eastAsia="仿宋_GB2312"/>
          <w:sz w:val="28"/>
          <w:szCs w:val="28"/>
          <w:lang w:eastAsia="zh-CN"/>
        </w:rPr>
        <w:t>公共资源交易网</w:t>
      </w:r>
      <w:r>
        <w:rPr>
          <w:rFonts w:hint="eastAsia" w:ascii="仿宋_GB2312" w:hAnsi="宋体" w:eastAsia="仿宋_GB2312"/>
          <w:sz w:val="28"/>
          <w:szCs w:val="28"/>
        </w:rPr>
        <w:t>》、《泰州市公共资源交易网》、《江苏建设工程招标网》发布的不良行为公示；兴化市、泰州市、江苏省有关行政机关作出的处理决定与通报；检察系统行贿档案查询认定应当限制投标的情形。</w:t>
      </w:r>
    </w:p>
    <w:p>
      <w:pPr>
        <w:shd w:val="clear" w:color="auto" w:fill="FFFFFF"/>
        <w:spacing w:line="460" w:lineRule="exact"/>
        <w:ind w:firstLine="420" w:firstLineChars="150"/>
        <w:jc w:val="left"/>
        <w:textAlignment w:val="baseline"/>
        <w:rPr>
          <w:rFonts w:ascii="仿宋_GB2312" w:hAnsi="宋体" w:eastAsia="仿宋_GB2312"/>
          <w:sz w:val="28"/>
          <w:szCs w:val="28"/>
        </w:rPr>
      </w:pPr>
      <w:r>
        <w:rPr>
          <w:rFonts w:hint="eastAsia" w:ascii="仿宋_GB2312" w:hAnsi="宋体" w:eastAsia="仿宋_GB2312"/>
          <w:sz w:val="28"/>
          <w:szCs w:val="28"/>
        </w:rPr>
        <w:t>4.7本工程投标文件的解密实行有限数量制：（1）、开标时，对按招标文件规定已上传投标文件且按规定参加开标会签到的实际投标人进行现场随机抽签，抽出一定数量的投标人并对其投标文件进行解密，未能通过抽签入围的投标文件不予解密、不参加评标定标。（2）、当实际投标人＞30家时，通过抽签方式抽出30家进行投标文件解密；当实际投标人≤30家时，则所有实际投标人全部入围并进行投标文件解密。</w:t>
      </w:r>
    </w:p>
    <w:p>
      <w:pPr>
        <w:spacing w:line="460" w:lineRule="exact"/>
        <w:rPr>
          <w:rFonts w:ascii="仿宋_GB2312" w:hAnsi="宋体" w:eastAsia="仿宋_GB2312"/>
          <w:b/>
          <w:sz w:val="28"/>
          <w:szCs w:val="28"/>
        </w:rPr>
      </w:pPr>
      <w:r>
        <w:rPr>
          <w:rFonts w:hint="eastAsia" w:ascii="仿宋_GB2312" w:hAnsi="宋体" w:eastAsia="仿宋_GB2312"/>
          <w:b/>
          <w:sz w:val="28"/>
          <w:szCs w:val="28"/>
        </w:rPr>
        <w:t>二、投标申请人须提供的资格审查材料及参加资格审查方式</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1、适用于资格预审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单位介绍信、法定代表人委托书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企业法人营业执照</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企业资质等级证书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企业安全生产许可证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项目负责人及授权委托人养老保险证明（详见本文件第一条2.7）</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项目负责人安全生产考核合格证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省外建筑施工企业须提供建设行政主管部门发放的《省外建筑施工企业资质核验书》。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联合体协议书，并明确联合体牵头人。</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法人代表和项目负责人二代身份证</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对投标人、项目负责人的信誉要求：投标人及项目负责人近两年内无行贿犯罪档案记录。</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：上述所列证书、证件和证明均须提供原件及复印件，其中复印件一式三份并加盖投标单位公章。</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1.2.1资格审查文件递交方式：□网上递交□现场递交</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现场递交期间：□企业法人代表□项目负责人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须携二代身份证到兴化市公共资源交易中心参加身份核验并递交预审材料。递交时间为：。</w:t>
      </w:r>
    </w:p>
    <w:p>
      <w:pPr>
        <w:shd w:val="clear" w:color="auto" w:fill="FFFFFF"/>
        <w:spacing w:line="460" w:lineRule="exact"/>
        <w:ind w:firstLine="426" w:firstLineChars="152"/>
        <w:jc w:val="left"/>
        <w:rPr>
          <w:rFonts w:ascii="仿宋_GB2312" w:hAnsi="宋体" w:eastAsia="仿宋_GB2312"/>
          <w:sz w:val="28"/>
          <w:szCs w:val="28"/>
        </w:rPr>
      </w:pPr>
      <w:r>
        <w:rPr>
          <w:rFonts w:hint="eastAsia" w:ascii="仿宋_GB2312" w:hAnsi="宋体" w:eastAsia="仿宋_GB2312"/>
          <w:sz w:val="28"/>
          <w:szCs w:val="28"/>
        </w:rPr>
        <w:t>1.2.2资格预审材料递交截止时间：。</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1.2.3招标人组织资格审查委员会对所有投标人递交的材料进行资格预审。</w:t>
      </w:r>
    </w:p>
    <w:p>
      <w:pPr>
        <w:spacing w:line="460" w:lineRule="exact"/>
        <w:ind w:firstLine="426" w:firstLineChars="152"/>
        <w:rPr>
          <w:rFonts w:ascii="仿宋_GB2312" w:hAnsi="宋体" w:eastAsia="仿宋_GB2312"/>
          <w:sz w:val="28"/>
          <w:szCs w:val="28"/>
        </w:rPr>
      </w:pPr>
      <w:r>
        <w:rPr>
          <w:rFonts w:hint="eastAsia" w:ascii="仿宋_GB2312" w:hAnsi="宋体" w:eastAsia="仿宋_GB2312"/>
          <w:sz w:val="28"/>
          <w:szCs w:val="28"/>
        </w:rPr>
        <w:t>1.2.4网上发布资格预审结果公告。凡未列入预审不合格名单中的投标申请人，均为预审合格单位。招标人不再另行通知。</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pPr>
        <w:spacing w:line="460" w:lineRule="exact"/>
        <w:ind w:firstLine="560" w:firstLineChars="200"/>
        <w:rPr>
          <w:rFonts w:ascii="仿宋_GB2312" w:hAnsi="宋体" w:eastAsia="仿宋_GB2312"/>
          <w:color w:val="993300"/>
          <w:sz w:val="28"/>
          <w:szCs w:val="28"/>
        </w:rPr>
      </w:pPr>
      <w:r>
        <w:rPr>
          <w:rFonts w:hint="eastAsia" w:ascii="仿宋_GB2312" w:hAnsi="宋体" w:eastAsia="仿宋_GB2312"/>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Pr>
          <w:rFonts w:hint="eastAsia" w:ascii="仿宋_GB2312" w:hAnsi="宋体" w:eastAsia="仿宋_GB2312" w:cs="Arial"/>
          <w:color w:val="000000"/>
          <w:kern w:val="0"/>
          <w:sz w:val="28"/>
          <w:szCs w:val="28"/>
        </w:rPr>
        <w:t>兴化市政务服务中心（</w:t>
      </w:r>
      <w:r>
        <w:rPr>
          <w:rFonts w:hint="eastAsia" w:ascii="仿宋_GB2312" w:hAnsi="宋体" w:eastAsia="仿宋_GB2312"/>
          <w:color w:val="000000"/>
          <w:kern w:val="0"/>
          <w:sz w:val="28"/>
          <w:szCs w:val="28"/>
          <w:highlight w:val="white"/>
        </w:rPr>
        <w:t>从会员系统获取子账号</w:t>
      </w:r>
      <w:r>
        <w:rPr>
          <w:rFonts w:hint="eastAsia" w:ascii="仿宋_GB2312" w:hAnsi="宋体" w:eastAsia="仿宋_GB2312" w:cs="Arial"/>
          <w:color w:val="000000"/>
          <w:kern w:val="0"/>
          <w:sz w:val="28"/>
          <w:szCs w:val="28"/>
        </w:rPr>
        <w:t>）</w:t>
      </w:r>
      <w:r>
        <w:rPr>
          <w:rFonts w:hint="eastAsia" w:ascii="仿宋_GB2312" w:hAnsi="宋体" w:eastAsia="仿宋_GB2312"/>
          <w:color w:val="993300"/>
          <w:sz w:val="28"/>
          <w:szCs w:val="28"/>
        </w:rPr>
        <w:t>交纳投标保证金。投标人提交的银行票据中的付款单位名称必须与投标人的法人名称一致；任何以个人或非投标人法人单位名称的名义提交的投标保证金都将被拒绝接收。</w:t>
      </w:r>
    </w:p>
    <w:p>
      <w:pPr>
        <w:shd w:val="clear" w:color="auto" w:fill="FFFFFF"/>
        <w:spacing w:line="460" w:lineRule="exact"/>
        <w:ind w:firstLine="281" w:firstLineChars="100"/>
        <w:jc w:val="left"/>
        <w:rPr>
          <w:rFonts w:ascii="仿宋_GB2312" w:hAnsi="宋体" w:eastAsia="仿宋_GB2312"/>
          <w:b/>
          <w:sz w:val="28"/>
          <w:szCs w:val="28"/>
        </w:rPr>
      </w:pPr>
      <w:r>
        <w:rPr>
          <w:rFonts w:hint="eastAsia" w:ascii="仿宋_GB2312" w:hAnsi="宋体" w:eastAsia="仿宋_GB2312"/>
          <w:b/>
          <w:sz w:val="28"/>
          <w:szCs w:val="28"/>
        </w:rPr>
        <w:t>2、适用于资格后审</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1.1提供材料</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企业法人营业执照</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企业资质等级证书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企业安全生产许可证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企业基本存款账户开户许可证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项目负责人资质证书</w:t>
      </w:r>
    </w:p>
    <w:p>
      <w:pPr>
        <w:numPr>
          <w:ilvl w:val="0"/>
          <w:numId w:val="1"/>
        </w:numPr>
        <w:spacing w:line="460" w:lineRule="exact"/>
        <w:rPr>
          <w:rFonts w:ascii="仿宋_GB2312" w:hAnsi="宋体" w:eastAsia="仿宋_GB2312"/>
          <w:sz w:val="28"/>
          <w:szCs w:val="28"/>
        </w:rPr>
      </w:pPr>
      <w:r>
        <w:rPr>
          <w:rFonts w:hint="eastAsia" w:ascii="仿宋_GB2312" w:hAnsi="宋体" w:eastAsia="仿宋_GB2312"/>
          <w:sz w:val="28"/>
          <w:szCs w:val="28"/>
        </w:rPr>
        <w:t>项目负责人职称证书</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项目负责人安全生产考核合格证</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项目负责人养老保险证明（详见本文件第一条2.7）</w:t>
      </w:r>
    </w:p>
    <w:p>
      <w:pPr>
        <w:spacing w:line="460" w:lineRule="exact"/>
        <w:ind w:left="56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对投标人、项目负责人的信誉要求：投标人及项目负责人近两年内无行贿犯罪档案记录。</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省外建筑施工企业须提供建设行政主管部门发放的《省外建筑施工企业资质核验书》。</w:t>
      </w:r>
    </w:p>
    <w:p>
      <w:pPr>
        <w:tabs>
          <w:tab w:val="left" w:pos="928"/>
        </w:tabs>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□业绩证明（包括：□经招投标管理部门备案的中标通知书□合同</w:t>
      </w:r>
    </w:p>
    <w:p>
      <w:pPr>
        <w:tabs>
          <w:tab w:val="left" w:pos="920"/>
        </w:tabs>
        <w:spacing w:line="460" w:lineRule="exact"/>
        <w:ind w:left="920" w:firstLine="560" w:firstLineChars="200"/>
        <w:rPr>
          <w:rFonts w:ascii="仿宋_GB2312" w:hAnsi="宋体" w:eastAsia="仿宋_GB2312"/>
          <w:sz w:val="28"/>
          <w:szCs w:val="28"/>
        </w:rPr>
      </w:pPr>
      <w:r>
        <w:rPr>
          <w:rFonts w:hint="eastAsia" w:ascii="仿宋_GB2312" w:hAnsi="宋体" w:eastAsia="仿宋_GB2312"/>
          <w:sz w:val="28"/>
          <w:szCs w:val="28"/>
        </w:rPr>
        <w:t>□建设、施工、监理、设计四方签署的工程竣工验收报告）</w:t>
      </w:r>
    </w:p>
    <w:p>
      <w:pPr>
        <w:spacing w:line="460" w:lineRule="exact"/>
        <w:ind w:left="561" w:leftChars="267"/>
        <w:rPr>
          <w:rFonts w:ascii="仿宋_GB2312" w:hAnsi="宋体" w:eastAsia="仿宋_GB2312"/>
          <w:sz w:val="28"/>
          <w:szCs w:val="28"/>
        </w:rPr>
      </w:pPr>
      <w:r>
        <w:rPr>
          <w:rFonts w:hint="eastAsia" w:ascii="仿宋_GB2312" w:hAnsi="宋体" w:eastAsia="仿宋_GB2312"/>
          <w:sz w:val="28"/>
          <w:szCs w:val="28"/>
        </w:rPr>
        <w:t>□有在建工程的项目总监，按本文件第一条2.6.4的要求提供证明材料。</w:t>
      </w:r>
    </w:p>
    <w:p>
      <w:pPr>
        <w:spacing w:line="460" w:lineRule="exact"/>
        <w:ind w:firstLine="140" w:firstLineChars="50"/>
        <w:rPr>
          <w:rFonts w:ascii="仿宋_GB2312" w:hAnsi="宋体" w:eastAsia="仿宋_GB2312"/>
          <w:sz w:val="28"/>
          <w:szCs w:val="28"/>
        </w:rPr>
      </w:pPr>
      <w:r>
        <w:rPr>
          <w:rFonts w:hint="eastAsia" w:ascii="宋体" w:hAnsi="宋体" w:eastAsia="仿宋_GB2312"/>
          <w:sz w:val="28"/>
          <w:szCs w:val="28"/>
        </w:rPr>
        <w:t> </w:t>
      </w:r>
      <w:r>
        <w:rPr>
          <w:rFonts w:hint="eastAsia" w:ascii="仿宋_GB2312" w:hAnsi="宋体" w:eastAsia="仿宋_GB2312"/>
          <w:sz w:val="28"/>
          <w:szCs w:val="28"/>
        </w:rPr>
        <w:t xml:space="preserve"> □其他：/</w:t>
      </w:r>
    </w:p>
    <w:p>
      <w:pPr>
        <w:spacing w:line="460" w:lineRule="exact"/>
        <w:ind w:left="560"/>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：上述所列证书、证件和证明均须从</w:t>
      </w:r>
      <w:r>
        <w:rPr>
          <w:rFonts w:hint="eastAsia" w:ascii="仿宋_GB2312" w:hAnsi="宋体" w:eastAsia="仿宋_GB2312"/>
          <w:color w:val="FF0000"/>
          <w:sz w:val="28"/>
          <w:szCs w:val="28"/>
          <w:u w:val="single"/>
        </w:rPr>
        <w:t>兴化市招投标诚信库获取上传。</w:t>
      </w:r>
      <w:r>
        <w:rPr>
          <w:rFonts w:hint="eastAsia" w:ascii="仿宋_GB2312" w:hAnsi="宋体" w:eastAsia="仿宋_GB2312"/>
          <w:sz w:val="28"/>
          <w:szCs w:val="28"/>
        </w:rPr>
        <w:t>诚信库未列入的内容，由投标人上传相关资料原件扫描件（或原件截图）。</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1.2参加资格审查方式</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评标时由评标委员会按招标文件的规定和标准对投标人上传的资格审查材料进行资格后审。</w:t>
      </w:r>
    </w:p>
    <w:p>
      <w:pPr>
        <w:shd w:val="clear" w:color="auto" w:fill="FFFFFF"/>
        <w:spacing w:line="460" w:lineRule="exact"/>
        <w:jc w:val="left"/>
        <w:textAlignment w:val="baseline"/>
        <w:rPr>
          <w:rFonts w:ascii="仿宋_GB2312" w:hAnsi="宋体" w:eastAsia="仿宋_GB2312"/>
          <w:b/>
          <w:sz w:val="28"/>
          <w:szCs w:val="28"/>
        </w:rPr>
      </w:pPr>
      <w:r>
        <w:rPr>
          <w:rFonts w:hint="eastAsia" w:ascii="仿宋_GB2312" w:hAnsi="宋体" w:eastAsia="仿宋_GB2312"/>
          <w:b/>
          <w:sz w:val="28"/>
          <w:szCs w:val="28"/>
        </w:rPr>
        <w:t>三．评标方法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1、本工程采用评标方法：</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□合理价随机确定中标人法。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w:t>
      </w:r>
      <w:bookmarkStart w:id="0" w:name="_7.1_中标公示"/>
      <w:bookmarkEnd w:id="0"/>
      <w:r>
        <w:rPr>
          <w:rFonts w:hint="eastAsia" w:ascii="仿宋_GB2312" w:hAnsi="宋体" w:eastAsia="仿宋_GB2312"/>
          <w:sz w:val="28"/>
          <w:szCs w:val="28"/>
        </w:rPr>
        <w:t>按招标文件的规定对投标文件进行评审。</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评标委员会从通过评审的合格投标人中以随机抽签的方式确定三名中标候选人。（详见招标文件）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评标委员会在评标报告上签字后，根据本定标办法随机抽签确定的中标候选人排名不因招投标当事人质疑、投诉、复议以及其他任何情形而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合理低价法。</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评标委员会对满足招标文件实质性要求的投标文件，从投标报价（</w:t>
      </w:r>
      <w:r>
        <w:rPr>
          <w:rFonts w:hint="eastAsia" w:ascii="仿宋_GB2312" w:hAnsi="宋体" w:eastAsia="仿宋_GB2312"/>
          <w:sz w:val="28"/>
          <w:szCs w:val="28"/>
          <w:u w:val="single"/>
          <w:lang w:val="en-US" w:eastAsia="zh-CN"/>
        </w:rPr>
        <w:t xml:space="preserve"> 95 </w:t>
      </w:r>
      <w:r>
        <w:rPr>
          <w:rFonts w:hint="eastAsia" w:ascii="仿宋_GB2312" w:hAnsi="宋体" w:eastAsia="仿宋_GB2312"/>
          <w:sz w:val="28"/>
          <w:szCs w:val="28"/>
        </w:rPr>
        <w:t>分）、信用评价（</w:t>
      </w:r>
      <w:r>
        <w:rPr>
          <w:rFonts w:hint="eastAsia" w:ascii="仿宋_GB2312" w:hAnsi="宋体" w:eastAsia="仿宋_GB2312"/>
          <w:sz w:val="28"/>
          <w:szCs w:val="28"/>
          <w:u w:val="single"/>
          <w:lang w:val="en-US" w:eastAsia="zh-CN"/>
        </w:rPr>
        <w:t xml:space="preserve"> 1 </w:t>
      </w:r>
      <w:r>
        <w:rPr>
          <w:rFonts w:hint="eastAsia" w:ascii="仿宋_GB2312" w:hAnsi="宋体" w:eastAsia="仿宋_GB2312"/>
          <w:sz w:val="28"/>
          <w:szCs w:val="28"/>
        </w:rPr>
        <w:t>分）、算术错误（</w:t>
      </w:r>
      <w:r>
        <w:rPr>
          <w:rFonts w:hint="eastAsia" w:ascii="仿宋_GB2312" w:hAnsi="宋体" w:eastAsia="仿宋_GB2312"/>
          <w:sz w:val="28"/>
          <w:szCs w:val="28"/>
          <w:u w:val="single"/>
          <w:lang w:val="en-US" w:eastAsia="zh-CN"/>
        </w:rPr>
        <w:t xml:space="preserve"> 2 </w:t>
      </w:r>
      <w:r>
        <w:rPr>
          <w:rFonts w:hint="eastAsia" w:ascii="仿宋_GB2312" w:hAnsi="宋体" w:eastAsia="仿宋_GB2312"/>
          <w:sz w:val="28"/>
          <w:szCs w:val="28"/>
        </w:rPr>
        <w:t>分）、细微偏差（</w:t>
      </w:r>
      <w:r>
        <w:rPr>
          <w:rFonts w:hint="eastAsia" w:ascii="仿宋_GB2312" w:hAnsi="宋体" w:eastAsia="仿宋_GB2312"/>
          <w:sz w:val="28"/>
          <w:szCs w:val="28"/>
          <w:u w:val="single"/>
          <w:lang w:val="en-US" w:eastAsia="zh-CN"/>
        </w:rPr>
        <w:t xml:space="preserve"> 2 </w:t>
      </w:r>
      <w:r>
        <w:rPr>
          <w:rFonts w:hint="eastAsia" w:ascii="仿宋_GB2312" w:hAnsi="宋体" w:eastAsia="仿宋_GB2312"/>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pPr>
        <w:shd w:val="clear" w:color="auto" w:fill="FFFFFF"/>
        <w:spacing w:line="460" w:lineRule="exact"/>
        <w:ind w:firstLine="560"/>
        <w:jc w:val="left"/>
        <w:rPr>
          <w:rFonts w:ascii="仿宋_GB2312" w:hAnsi="宋体" w:eastAsia="仿宋_GB2312"/>
          <w:sz w:val="28"/>
          <w:szCs w:val="28"/>
        </w:rPr>
      </w:pPr>
      <w:r>
        <w:rPr>
          <w:rFonts w:hint="eastAsia" w:ascii="仿宋_GB2312" w:hAnsi="宋体" w:eastAsia="仿宋_GB2312"/>
          <w:sz w:val="28"/>
          <w:szCs w:val="28"/>
        </w:rPr>
        <w:t>□经评审的最低投标价法。</w:t>
      </w:r>
    </w:p>
    <w:p>
      <w:pPr>
        <w:spacing w:line="460" w:lineRule="exact"/>
        <w:ind w:firstLine="700" w:firstLineChars="250"/>
        <w:rPr>
          <w:rFonts w:ascii="仿宋_GB2312" w:hAnsi="宋体" w:eastAsia="仿宋_GB2312"/>
          <w:sz w:val="28"/>
          <w:szCs w:val="28"/>
        </w:rPr>
      </w:pPr>
      <w:r>
        <w:rPr>
          <w:rFonts w:hint="eastAsia" w:ascii="仿宋_GB2312" w:hAnsi="宋体" w:eastAsia="仿宋_GB2312"/>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pPr>
        <w:spacing w:line="460" w:lineRule="exact"/>
        <w:ind w:firstLine="420" w:firstLineChars="150"/>
        <w:rPr>
          <w:rFonts w:ascii="仿宋_GB2312" w:hAnsi="宋体" w:eastAsia="仿宋_GB2312"/>
          <w:sz w:val="28"/>
          <w:szCs w:val="28"/>
        </w:rPr>
      </w:pPr>
      <w:r>
        <w:rPr>
          <w:rFonts w:hint="eastAsia" w:ascii="仿宋_GB2312" w:hAnsi="宋体" w:eastAsia="仿宋_GB2312"/>
          <w:sz w:val="28"/>
          <w:szCs w:val="28"/>
        </w:rPr>
        <w:t>□综合评估法。</w:t>
      </w:r>
    </w:p>
    <w:p>
      <w:pPr>
        <w:spacing w:line="460" w:lineRule="exact"/>
        <w:ind w:firstLine="700" w:firstLineChars="250"/>
        <w:rPr>
          <w:rFonts w:ascii="仿宋_GB2312" w:hAnsi="宋体" w:eastAsia="仿宋_GB2312"/>
          <w:sz w:val="28"/>
          <w:szCs w:val="28"/>
        </w:rPr>
      </w:pPr>
      <w:r>
        <w:rPr>
          <w:rFonts w:hint="eastAsia" w:ascii="仿宋_GB2312" w:hAnsi="宋体" w:eastAsia="仿宋_GB2312"/>
          <w:sz w:val="28"/>
          <w:szCs w:val="28"/>
        </w:rPr>
        <w:t>评标委员会对满足招标文件实质性要求的投标文件，从施工组织设计（</w:t>
      </w:r>
      <w:r>
        <w:rPr>
          <w:rFonts w:hint="eastAsia" w:ascii="仿宋_GB2312" w:hAnsi="宋体" w:eastAsia="仿宋_GB2312"/>
          <w:i/>
          <w:sz w:val="28"/>
          <w:szCs w:val="28"/>
          <w:u w:val="single"/>
        </w:rPr>
        <w:t>　　</w:t>
      </w:r>
      <w:r>
        <w:rPr>
          <w:rFonts w:hint="eastAsia" w:ascii="仿宋_GB2312" w:hAnsi="宋体" w:eastAsia="仿宋_GB2312"/>
          <w:sz w:val="28"/>
          <w:szCs w:val="28"/>
        </w:rPr>
        <w:t>分）、项目管理机构（答辩）</w:t>
      </w:r>
      <w:r>
        <w:rPr>
          <w:rFonts w:hint="eastAsia" w:ascii="仿宋_GB2312" w:hAnsi="宋体" w:eastAsia="仿宋_GB2312"/>
          <w:i/>
          <w:sz w:val="28"/>
          <w:szCs w:val="28"/>
          <w:u w:val="single"/>
        </w:rPr>
        <w:t>　　</w:t>
      </w:r>
      <w:r>
        <w:rPr>
          <w:rFonts w:hint="eastAsia" w:ascii="仿宋_GB2312" w:hAnsi="宋体" w:eastAsia="仿宋_GB2312"/>
          <w:sz w:val="28"/>
          <w:szCs w:val="28"/>
        </w:rPr>
        <w:t>分）、投标报价（</w:t>
      </w:r>
      <w:r>
        <w:rPr>
          <w:rFonts w:hint="eastAsia" w:ascii="仿宋_GB2312" w:hAnsi="宋体" w:eastAsia="仿宋_GB2312"/>
          <w:i/>
          <w:sz w:val="28"/>
          <w:szCs w:val="28"/>
          <w:u w:val="single"/>
        </w:rPr>
        <w:t>　　</w:t>
      </w:r>
      <w:r>
        <w:rPr>
          <w:rFonts w:hint="eastAsia" w:ascii="仿宋_GB2312" w:hAnsi="宋体" w:eastAsia="仿宋_GB2312"/>
          <w:sz w:val="28"/>
          <w:szCs w:val="28"/>
        </w:rPr>
        <w:t>分）、信用评价（</w:t>
      </w:r>
      <w:r>
        <w:rPr>
          <w:rFonts w:hint="eastAsia" w:ascii="仿宋_GB2312" w:hAnsi="宋体" w:eastAsia="仿宋_GB2312"/>
          <w:i/>
          <w:sz w:val="28"/>
          <w:szCs w:val="28"/>
          <w:u w:val="single"/>
        </w:rPr>
        <w:t>　　</w:t>
      </w:r>
      <w:r>
        <w:rPr>
          <w:rFonts w:hint="eastAsia" w:ascii="仿宋_GB2312" w:hAnsi="宋体" w:eastAsia="仿宋_GB2312"/>
          <w:sz w:val="28"/>
          <w:szCs w:val="28"/>
        </w:rPr>
        <w:t>分）、奖项（</w:t>
      </w:r>
      <w:r>
        <w:rPr>
          <w:rFonts w:hint="eastAsia" w:ascii="仿宋_GB2312" w:hAnsi="宋体" w:eastAsia="仿宋_GB2312"/>
          <w:i/>
          <w:sz w:val="28"/>
          <w:szCs w:val="28"/>
          <w:u w:val="single"/>
        </w:rPr>
        <w:t>　　</w:t>
      </w:r>
      <w:r>
        <w:rPr>
          <w:rFonts w:hint="eastAsia" w:ascii="仿宋_GB2312" w:hAnsi="宋体" w:eastAsia="仿宋_GB2312"/>
          <w:sz w:val="28"/>
          <w:szCs w:val="28"/>
        </w:rPr>
        <w:t>分）、投标人类似项目业绩（</w:t>
      </w:r>
      <w:r>
        <w:rPr>
          <w:rFonts w:hint="eastAsia" w:ascii="仿宋_GB2312" w:hAnsi="宋体" w:eastAsia="仿宋_GB2312"/>
          <w:i/>
          <w:sz w:val="28"/>
          <w:szCs w:val="28"/>
          <w:u w:val="single"/>
        </w:rPr>
        <w:t>　　</w:t>
      </w:r>
      <w:r>
        <w:rPr>
          <w:rFonts w:hint="eastAsia" w:ascii="仿宋_GB2312" w:hAnsi="宋体" w:eastAsia="仿宋_GB2312"/>
          <w:sz w:val="28"/>
          <w:szCs w:val="28"/>
        </w:rPr>
        <w:t>分）、算术错误（</w:t>
      </w:r>
      <w:r>
        <w:rPr>
          <w:rFonts w:hint="eastAsia" w:ascii="仿宋_GB2312" w:hAnsi="宋体" w:eastAsia="仿宋_GB2312"/>
          <w:i/>
          <w:sz w:val="28"/>
          <w:szCs w:val="28"/>
          <w:u w:val="single"/>
        </w:rPr>
        <w:t>　　</w:t>
      </w:r>
      <w:r>
        <w:rPr>
          <w:rFonts w:hint="eastAsia" w:ascii="仿宋_GB2312" w:hAnsi="宋体" w:eastAsia="仿宋_GB2312"/>
          <w:sz w:val="28"/>
          <w:szCs w:val="28"/>
        </w:rPr>
        <w:t>分）、细微偏差（</w:t>
      </w:r>
      <w:r>
        <w:rPr>
          <w:rFonts w:hint="eastAsia" w:ascii="仿宋_GB2312" w:hAnsi="宋体" w:eastAsia="仿宋_GB2312"/>
          <w:i/>
          <w:sz w:val="28"/>
          <w:szCs w:val="28"/>
          <w:u w:val="single"/>
        </w:rPr>
        <w:t>　　</w:t>
      </w:r>
      <w:r>
        <w:rPr>
          <w:rFonts w:hint="eastAsia" w:ascii="仿宋_GB2312" w:hAnsi="宋体" w:eastAsia="仿宋_GB2312"/>
          <w:sz w:val="28"/>
          <w:szCs w:val="28"/>
        </w:rPr>
        <w:t>分）等方面按照招标文件确定的评分标准进行详细评审、综合计分，并按得分由高到低顺序推荐中标候选人。综合评分相等时，以投标报价低的优先；投标报价也相等的，由招标人随机抽签确定。（详见招标文件）</w:t>
      </w:r>
    </w:p>
    <w:p>
      <w:pPr>
        <w:shd w:val="clear" w:color="auto" w:fill="FFFFFF"/>
        <w:spacing w:line="460" w:lineRule="exact"/>
        <w:ind w:firstLine="412" w:firstLineChars="147"/>
        <w:rPr>
          <w:rFonts w:ascii="仿宋_GB2312" w:hAnsi="宋体" w:eastAsia="仿宋_GB2312"/>
          <w:sz w:val="28"/>
          <w:szCs w:val="28"/>
        </w:rPr>
      </w:pPr>
      <w:r>
        <w:rPr>
          <w:rFonts w:hint="eastAsia" w:ascii="仿宋_GB2312" w:hAnsi="宋体" w:eastAsia="仿宋_GB2312"/>
          <w:sz w:val="28"/>
          <w:szCs w:val="28"/>
        </w:rPr>
        <w:t>2、投标报价的评审标准及评标基准价的确定</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□方法一：以有效投标文件的最低投标报价为评标基准价，投标报价等于评标基准价的得满分；偏离评标基准价的，相应扣减得分。</w:t>
      </w: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 xml:space="preserve">□方法二：以有效投标文件的投标报价算术平均值为 A、招标控制价为B，则: </w:t>
      </w: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评标基准价C=A×K1×Q1+B×K2×Q2</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Q2=1-Q1, Q1、Q2 取值一般均应≥30%；Q1取值范围为30%、40%、50%、60%、70%，K1取值范围为95%、96%、97%、98%，K2取值范围□按土建工程类别：招标控制价的85%～80%□按市政工程类别：招标控制价的82%～78%   □按装饰、园林绿化等专业工程类别：招标控制价的80%～75%），Q1、K1 、K2值开标时随机抽取确定；投标报价等于评标基准价的得满分；偏离评标基准价的相应扣减得分。</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□方法三：以有效投标文件的投标报价算术平均值为 A，评标基准价 C=A×K，（K取值范围为95%、96%、97%、98%，开标时随机抽取确定）。投标报价等于评标基准价的得满分；偏离评标基准价的相应扣减得分。</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sym w:font="Wingdings" w:char="F0FE"/>
      </w:r>
      <w:r>
        <w:rPr>
          <w:rFonts w:hint="eastAsia" w:ascii="仿宋_GB2312" w:hAnsi="宋体" w:eastAsia="仿宋_GB2312"/>
          <w:sz w:val="28"/>
          <w:szCs w:val="28"/>
        </w:rPr>
        <w:t>方法四：招标控制价为B，评标基准价C=B×K</w:t>
      </w:r>
    </w:p>
    <w:p>
      <w:pPr>
        <w:shd w:val="clear" w:color="auto" w:fill="FFFFFF"/>
        <w:spacing w:line="460" w:lineRule="exact"/>
        <w:ind w:firstLine="529" w:firstLineChars="189"/>
        <w:jc w:val="left"/>
        <w:rPr>
          <w:rFonts w:ascii="仿宋_GB2312" w:hAnsi="宋体" w:eastAsia="仿宋_GB2312"/>
          <w:sz w:val="28"/>
          <w:szCs w:val="28"/>
        </w:rPr>
      </w:pPr>
      <w:r>
        <w:rPr>
          <w:rFonts w:hint="eastAsia" w:ascii="仿宋_GB2312" w:hAnsi="宋体" w:eastAsia="仿宋_GB2312"/>
          <w:sz w:val="28"/>
          <w:szCs w:val="28"/>
        </w:rPr>
        <w:t>K值的取值范围由招标人根据工程的实际情况确定。</w:t>
      </w:r>
    </w:p>
    <w:p>
      <w:pPr>
        <w:shd w:val="clear" w:color="auto" w:fill="FFFFFF"/>
        <w:spacing w:line="460" w:lineRule="exact"/>
        <w:ind w:left="141" w:leftChars="67" w:firstLine="386" w:firstLineChars="138"/>
        <w:jc w:val="left"/>
        <w:rPr>
          <w:rFonts w:ascii="仿宋_GB2312" w:hAnsi="宋体" w:eastAsia="仿宋_GB2312"/>
          <w:sz w:val="28"/>
          <w:szCs w:val="28"/>
        </w:rPr>
      </w:pPr>
      <w:r>
        <w:rPr>
          <w:rFonts w:hint="eastAsia" w:ascii="仿宋_GB2312" w:hAnsi="宋体" w:eastAsia="仿宋_GB2312"/>
          <w:sz w:val="28"/>
          <w:szCs w:val="28"/>
        </w:rPr>
        <w:t>本工程K值的取值范围是：□</w:t>
      </w:r>
      <w:bookmarkStart w:id="1" w:name="_GoBack"/>
      <w:bookmarkEnd w:id="1"/>
      <w:r>
        <w:rPr>
          <w:rFonts w:hint="eastAsia" w:ascii="仿宋_GB2312" w:hAnsi="宋体" w:eastAsia="仿宋_GB2312"/>
          <w:sz w:val="28"/>
          <w:szCs w:val="28"/>
        </w:rPr>
        <w:t>按土建工程类别： 85%～80%；</w:t>
      </w:r>
      <w:r>
        <w:rPr>
          <w:rFonts w:hint="eastAsia" w:ascii="仿宋_GB2312" w:hAnsi="宋体" w:eastAsia="仿宋_GB2312"/>
          <w:sz w:val="28"/>
          <w:szCs w:val="28"/>
        </w:rPr>
        <w:sym w:font="Wingdings" w:char="F0FE"/>
      </w:r>
      <w:r>
        <w:rPr>
          <w:rFonts w:hint="eastAsia" w:ascii="仿宋_GB2312" w:hAnsi="宋体" w:eastAsia="仿宋_GB2312"/>
          <w:sz w:val="28"/>
          <w:szCs w:val="28"/>
        </w:rPr>
        <w:t>按市政工程类别： 82%～78%  ；□按装饰、园林绿化等专业工程类别： 80%～75%。K值的具体数值开标时随机抽取确定。投标报价等于基准价的得满分；偏离基准价的相应扣减得分。</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1.投标报价指经澄清、补正和修正算术计算错误的报价;</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2.评标委员会在评标报告上签字后，上述方法二、方法三和方法四的评标基准价不因招投标当事人质疑、投诉、复议以及其它任何情形而改变；</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3.投标报价相对评标基准价每偏离 1%，扣减一定的分值，偏离不足1%的，按照插入法计算得分。</w:t>
      </w:r>
    </w:p>
    <w:p>
      <w:pPr>
        <w:spacing w:line="460" w:lineRule="exact"/>
        <w:ind w:firstLine="560" w:firstLineChars="200"/>
        <w:rPr>
          <w:rFonts w:ascii="仿宋_GB2312" w:hAnsi="宋体" w:eastAsia="仿宋_GB2312"/>
          <w:b/>
          <w:color w:val="C00000"/>
          <w:kern w:val="0"/>
          <w:szCs w:val="21"/>
        </w:rPr>
      </w:pPr>
      <w:r>
        <w:rPr>
          <w:rFonts w:hint="eastAsia" w:ascii="仿宋_GB2312" w:hAnsi="宋体" w:eastAsia="仿宋_GB2312"/>
          <w:sz w:val="28"/>
          <w:szCs w:val="28"/>
        </w:rPr>
        <w:t>4.有效投标文件是指未被评标委员会判定为无效标的投标文件。</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5、方法二、方法三中的投标报价算术平均值的计算方式是：合格投标人＜7家时，其投标报价全部参与计算算术平均值；7家≤合格投标人＜10家时，去掉其中1个最低和1个最高投标价后计算算术平均值；合格投标人≥10家时，去掉其中2个最低和2个最高投标价后计算算术平均值。</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6、方法四K值确定的具体方法和程序是：开标抽取K值前，先抽取K值幅度值，K值幅度值按类别（土建、市政、装饰绿化）分别设置三个备选组，第一组对应幅度为0.2%，第二组为0.25%，第三组为0.5%，建设单位或监督部门人员随机选择一名投标人以随机摇号的方式抽取并确定组号； K值幅度值组号确定后，再由建设单位或监督部门人员随机选择二名投标人分别摇号，摇出的球号分别对应一个K数值，二名投标人抽取的K数值的平均值为本工程最终K值。</w:t>
      </w:r>
    </w:p>
    <w:sectPr>
      <w:footerReference r:id="rId5" w:type="first"/>
      <w:footerReference r:id="rId3" w:type="default"/>
      <w:footerReference r:id="rId4" w:type="even"/>
      <w:pgSz w:w="11906" w:h="16838"/>
      <w:pgMar w:top="1134" w:right="1274" w:bottom="1702" w:left="1276" w:header="680"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0F3C52" w:usb2="00000016" w:usb3="00000000" w:csb0="0004001F" w:csb1="00000000"/>
  </w:font>
  <w:font w:name="Cambria">
    <w:altName w:val="RomanS"/>
    <w:panose1 w:val="02040503050406030204"/>
    <w:charset w:val="00"/>
    <w:family w:val="modern"/>
    <w:pitch w:val="default"/>
    <w:sig w:usb0="00000000" w:usb1="00000000" w:usb2="00000000" w:usb3="00000000" w:csb0="2000009F" w:csb1="00000000"/>
  </w:font>
  <w:font w:name="Calibri">
    <w:altName w:val="微软雅黑"/>
    <w:panose1 w:val="020F0502020204030204"/>
    <w:charset w:val="00"/>
    <w:family w:val="decorative"/>
    <w:pitch w:val="default"/>
    <w:sig w:usb0="00000000" w:usb1="00000000"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RomanS"/>
    <w:panose1 w:val="02040503050406030204"/>
    <w:charset w:val="00"/>
    <w:family w:val="swiss"/>
    <w:pitch w:val="default"/>
    <w:sig w:usb0="00000000" w:usb1="00000000" w:usb2="00000000" w:usb3="00000000" w:csb0="2000009F" w:csb1="00000000"/>
  </w:font>
  <w:font w:name="Calibri">
    <w:altName w:val="微软雅黑"/>
    <w:panose1 w:val="020F0502020204030204"/>
    <w:charset w:val="00"/>
    <w:family w:val="roman"/>
    <w:pitch w:val="default"/>
    <w:sig w:usb0="00000000" w:usb1="00000000" w:usb2="00000000" w:usb3="00000000" w:csb0="2000009F" w:csb1="0000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黑体">
    <w:panose1 w:val="02010600030101010101"/>
    <w:charset w:val="86"/>
    <w:family w:val="decorative"/>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RomanS"/>
    <w:panose1 w:val="02040503050406030204"/>
    <w:charset w:val="00"/>
    <w:family w:val="decorative"/>
    <w:pitch w:val="default"/>
    <w:sig w:usb0="00000000" w:usb1="00000000" w:usb2="00000000" w:usb3="00000000" w:csb0="2000009F" w:csb1="00000000"/>
  </w:font>
  <w:font w:name="Calibri">
    <w:altName w:val="微软雅黑"/>
    <w:panose1 w:val="020F0502020204030204"/>
    <w:charset w:val="00"/>
    <w:family w:val="modern"/>
    <w:pitch w:val="default"/>
    <w:sig w:usb0="00000000" w:usb1="00000000"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modern"/>
    <w:pitch w:val="default"/>
    <w:sig w:usb0="00000000" w:usb1="00000000" w:usb2="00000000" w:usb3="00000000" w:csb0="00040001" w:csb1="00000000"/>
  </w:font>
  <w:font w:name="Arial">
    <w:panose1 w:val="020B0604020202020204"/>
    <w:charset w:val="00"/>
    <w:family w:val="modern"/>
    <w:pitch w:val="default"/>
    <w:sig w:usb0="00007A87" w:usb1="80000000" w:usb2="00000008" w:usb3="00000000" w:csb0="400001FF" w:csb1="FFFF0000"/>
  </w:font>
  <w:font w:name="黑体">
    <w:panose1 w:val="02010600030101010101"/>
    <w:charset w:val="86"/>
    <w:family w:val="roman"/>
    <w:pitch w:val="default"/>
    <w:sig w:usb0="00000001" w:usb1="080E0000" w:usb2="00000000" w:usb3="00000000" w:csb0="00040000" w:csb1="00000000"/>
  </w:font>
  <w:font w:name="ˎ̥">
    <w:altName w:val="Times New Roman"/>
    <w:panose1 w:val="00000000000000000000"/>
    <w:charset w:val="01"/>
    <w:family w:val="swiss"/>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ˎ̥">
    <w:altName w:val="Times New Roman"/>
    <w:panose1 w:val="00000000000000000000"/>
    <w:charset w:val="01"/>
    <w:family w:val="decorative"/>
    <w:pitch w:val="default"/>
    <w:sig w:usb0="00000000" w:usb1="00000000" w:usb2="00000000" w:usb3="00000000" w:csb0="00040001" w:csb1="00000000"/>
  </w:font>
  <w:font w:name="Arial">
    <w:panose1 w:val="020B0604020202020204"/>
    <w:charset w:val="00"/>
    <w:family w:val="decorative"/>
    <w:pitch w:val="default"/>
    <w:sig w:usb0="00007A87" w:usb1="80000000" w:usb2="00000008" w:usb3="00000000" w:csb0="400001FF" w:csb1="FFFF0000"/>
  </w:font>
  <w:font w:name="黑体">
    <w:panose1 w:val="02010600030101010101"/>
    <w:charset w:val="86"/>
    <w:family w:val="swiss"/>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RomanS">
    <w:panose1 w:val="02000400000000000000"/>
    <w:charset w:val="00"/>
    <w:family w:val="auto"/>
    <w:pitch w:val="default"/>
    <w:sig w:usb0="00000207" w:usb1="00000000" w:usb2="00000000" w:usb3="00000000" w:csb0="000001FF" w:csb1="00000000"/>
  </w:font>
  <w:font w:name="RomanS">
    <w:panose1 w:val="02000400000000000000"/>
    <w:charset w:val="00"/>
    <w:family w:val="auto"/>
    <w:pitch w:val="default"/>
    <w:sig w:usb0="00000207" w:usb1="00000000" w:usb2="00000000" w:usb3="00000000" w:csb0="000001FF"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3758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16AE8"/>
    <w:multiLevelType w:val="multilevel"/>
    <w:tmpl w:val="4A816AE8"/>
    <w:lvl w:ilvl="0" w:tentative="0">
      <w:start w:val="1"/>
      <w:numFmt w:val="bullet"/>
      <w:lvlText w:val="□"/>
      <w:lvlJc w:val="left"/>
      <w:pPr>
        <w:tabs>
          <w:tab w:val="left" w:pos="928"/>
        </w:tabs>
        <w:ind w:left="928" w:hanging="360"/>
      </w:pPr>
      <w:rPr>
        <w:rFonts w:hint="eastAsia" w:ascii="仿宋_GB2312" w:hAnsi="Calibri" w:eastAsia="仿宋_GB2312"/>
        <w:sz w:val="28"/>
        <w:lang w:val="en-U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D5B45"/>
    <w:rsid w:val="0000772D"/>
    <w:rsid w:val="000172AF"/>
    <w:rsid w:val="00017AB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8072B"/>
    <w:rsid w:val="00181754"/>
    <w:rsid w:val="00191F6A"/>
    <w:rsid w:val="00196078"/>
    <w:rsid w:val="00196BC2"/>
    <w:rsid w:val="001A6921"/>
    <w:rsid w:val="001C1A1D"/>
    <w:rsid w:val="001E1354"/>
    <w:rsid w:val="00214230"/>
    <w:rsid w:val="0023072B"/>
    <w:rsid w:val="002321D9"/>
    <w:rsid w:val="0023764E"/>
    <w:rsid w:val="002404AA"/>
    <w:rsid w:val="002417B2"/>
    <w:rsid w:val="0024214A"/>
    <w:rsid w:val="00252CCF"/>
    <w:rsid w:val="002578A6"/>
    <w:rsid w:val="00261259"/>
    <w:rsid w:val="00266E36"/>
    <w:rsid w:val="00286769"/>
    <w:rsid w:val="00296D12"/>
    <w:rsid w:val="002A2143"/>
    <w:rsid w:val="002A73E3"/>
    <w:rsid w:val="002B0326"/>
    <w:rsid w:val="002B70B5"/>
    <w:rsid w:val="002D439D"/>
    <w:rsid w:val="002D4472"/>
    <w:rsid w:val="002E4B8C"/>
    <w:rsid w:val="002F6563"/>
    <w:rsid w:val="003032AA"/>
    <w:rsid w:val="0030331E"/>
    <w:rsid w:val="00305902"/>
    <w:rsid w:val="00312A1E"/>
    <w:rsid w:val="00313C9F"/>
    <w:rsid w:val="00322744"/>
    <w:rsid w:val="00336BB2"/>
    <w:rsid w:val="00337994"/>
    <w:rsid w:val="00342A6A"/>
    <w:rsid w:val="00343D89"/>
    <w:rsid w:val="00344C15"/>
    <w:rsid w:val="003474DA"/>
    <w:rsid w:val="0036105F"/>
    <w:rsid w:val="003761B0"/>
    <w:rsid w:val="00383607"/>
    <w:rsid w:val="003863B1"/>
    <w:rsid w:val="003900C3"/>
    <w:rsid w:val="00396320"/>
    <w:rsid w:val="003966F3"/>
    <w:rsid w:val="00397F84"/>
    <w:rsid w:val="003A508E"/>
    <w:rsid w:val="003A7F7F"/>
    <w:rsid w:val="003C45FA"/>
    <w:rsid w:val="003D0189"/>
    <w:rsid w:val="003D19A7"/>
    <w:rsid w:val="003E0926"/>
    <w:rsid w:val="003E3838"/>
    <w:rsid w:val="003E5414"/>
    <w:rsid w:val="003F7F37"/>
    <w:rsid w:val="00403506"/>
    <w:rsid w:val="00403BB2"/>
    <w:rsid w:val="00404079"/>
    <w:rsid w:val="004078BE"/>
    <w:rsid w:val="00412CA5"/>
    <w:rsid w:val="00416254"/>
    <w:rsid w:val="0041747A"/>
    <w:rsid w:val="00422BE7"/>
    <w:rsid w:val="00425BAD"/>
    <w:rsid w:val="004413E8"/>
    <w:rsid w:val="004416E5"/>
    <w:rsid w:val="0044260B"/>
    <w:rsid w:val="004650FC"/>
    <w:rsid w:val="00465F07"/>
    <w:rsid w:val="0047334D"/>
    <w:rsid w:val="00481B4C"/>
    <w:rsid w:val="00482A3A"/>
    <w:rsid w:val="004A1A43"/>
    <w:rsid w:val="004C18CC"/>
    <w:rsid w:val="004D3FB4"/>
    <w:rsid w:val="004F4A91"/>
    <w:rsid w:val="004F59D1"/>
    <w:rsid w:val="00505FAB"/>
    <w:rsid w:val="00506224"/>
    <w:rsid w:val="00512EB3"/>
    <w:rsid w:val="00514A25"/>
    <w:rsid w:val="00527B4B"/>
    <w:rsid w:val="00535694"/>
    <w:rsid w:val="00541343"/>
    <w:rsid w:val="005418C5"/>
    <w:rsid w:val="005451E9"/>
    <w:rsid w:val="005456DA"/>
    <w:rsid w:val="00545977"/>
    <w:rsid w:val="00546CFB"/>
    <w:rsid w:val="00562910"/>
    <w:rsid w:val="00563CF8"/>
    <w:rsid w:val="005713FA"/>
    <w:rsid w:val="00583AE5"/>
    <w:rsid w:val="00586AE8"/>
    <w:rsid w:val="00592E20"/>
    <w:rsid w:val="00596934"/>
    <w:rsid w:val="005A6DD7"/>
    <w:rsid w:val="005B1C30"/>
    <w:rsid w:val="005B1F98"/>
    <w:rsid w:val="005B5DEE"/>
    <w:rsid w:val="005D60E0"/>
    <w:rsid w:val="005F11D6"/>
    <w:rsid w:val="005F58FC"/>
    <w:rsid w:val="00603565"/>
    <w:rsid w:val="0061033C"/>
    <w:rsid w:val="0062092F"/>
    <w:rsid w:val="00627E77"/>
    <w:rsid w:val="00631401"/>
    <w:rsid w:val="006316DC"/>
    <w:rsid w:val="00637B16"/>
    <w:rsid w:val="00637D05"/>
    <w:rsid w:val="006429A2"/>
    <w:rsid w:val="00643555"/>
    <w:rsid w:val="006547AA"/>
    <w:rsid w:val="0066134D"/>
    <w:rsid w:val="00666FBD"/>
    <w:rsid w:val="00671322"/>
    <w:rsid w:val="00690494"/>
    <w:rsid w:val="0069278D"/>
    <w:rsid w:val="006A3045"/>
    <w:rsid w:val="006A70FE"/>
    <w:rsid w:val="006B2119"/>
    <w:rsid w:val="006D0887"/>
    <w:rsid w:val="006D3D69"/>
    <w:rsid w:val="006F538A"/>
    <w:rsid w:val="006F6445"/>
    <w:rsid w:val="0070232A"/>
    <w:rsid w:val="00702E98"/>
    <w:rsid w:val="00735ABA"/>
    <w:rsid w:val="00747B5E"/>
    <w:rsid w:val="00762E2F"/>
    <w:rsid w:val="007664F0"/>
    <w:rsid w:val="007727B1"/>
    <w:rsid w:val="00773438"/>
    <w:rsid w:val="007777BB"/>
    <w:rsid w:val="00784C16"/>
    <w:rsid w:val="007852FA"/>
    <w:rsid w:val="007976AB"/>
    <w:rsid w:val="007A3BC9"/>
    <w:rsid w:val="007A3C09"/>
    <w:rsid w:val="007A4B87"/>
    <w:rsid w:val="007B6B45"/>
    <w:rsid w:val="007C24C7"/>
    <w:rsid w:val="007C3149"/>
    <w:rsid w:val="007D3EBF"/>
    <w:rsid w:val="007D67C6"/>
    <w:rsid w:val="007D6CA5"/>
    <w:rsid w:val="007F15F8"/>
    <w:rsid w:val="007F19BE"/>
    <w:rsid w:val="008022EB"/>
    <w:rsid w:val="008066B7"/>
    <w:rsid w:val="00811B8B"/>
    <w:rsid w:val="00833A41"/>
    <w:rsid w:val="00836D84"/>
    <w:rsid w:val="00845404"/>
    <w:rsid w:val="008454F9"/>
    <w:rsid w:val="008465F7"/>
    <w:rsid w:val="00850F24"/>
    <w:rsid w:val="00852E73"/>
    <w:rsid w:val="0087176E"/>
    <w:rsid w:val="00874331"/>
    <w:rsid w:val="00897ABA"/>
    <w:rsid w:val="008A21FA"/>
    <w:rsid w:val="008A5258"/>
    <w:rsid w:val="008A56EF"/>
    <w:rsid w:val="008C0249"/>
    <w:rsid w:val="008C6E18"/>
    <w:rsid w:val="008D5B45"/>
    <w:rsid w:val="008D6140"/>
    <w:rsid w:val="008E2567"/>
    <w:rsid w:val="008F4A27"/>
    <w:rsid w:val="0090158F"/>
    <w:rsid w:val="00901F17"/>
    <w:rsid w:val="00903162"/>
    <w:rsid w:val="00904487"/>
    <w:rsid w:val="00913813"/>
    <w:rsid w:val="00913CB6"/>
    <w:rsid w:val="0092552F"/>
    <w:rsid w:val="00925EE5"/>
    <w:rsid w:val="0093104B"/>
    <w:rsid w:val="0093568A"/>
    <w:rsid w:val="0094128E"/>
    <w:rsid w:val="00947A19"/>
    <w:rsid w:val="00956744"/>
    <w:rsid w:val="00961EA0"/>
    <w:rsid w:val="00966D7E"/>
    <w:rsid w:val="00972197"/>
    <w:rsid w:val="00992527"/>
    <w:rsid w:val="00992BA4"/>
    <w:rsid w:val="009A3D46"/>
    <w:rsid w:val="009A6E22"/>
    <w:rsid w:val="009B2477"/>
    <w:rsid w:val="009F7F4B"/>
    <w:rsid w:val="00A018B4"/>
    <w:rsid w:val="00A02617"/>
    <w:rsid w:val="00A178FC"/>
    <w:rsid w:val="00A2561C"/>
    <w:rsid w:val="00A25757"/>
    <w:rsid w:val="00A472B6"/>
    <w:rsid w:val="00A50B2C"/>
    <w:rsid w:val="00A56616"/>
    <w:rsid w:val="00A577A2"/>
    <w:rsid w:val="00A64386"/>
    <w:rsid w:val="00A84C2A"/>
    <w:rsid w:val="00A9158D"/>
    <w:rsid w:val="00AA2204"/>
    <w:rsid w:val="00AB0E62"/>
    <w:rsid w:val="00AC42AB"/>
    <w:rsid w:val="00AC4454"/>
    <w:rsid w:val="00AC58C2"/>
    <w:rsid w:val="00AC6CD5"/>
    <w:rsid w:val="00AC71F1"/>
    <w:rsid w:val="00AF3B0A"/>
    <w:rsid w:val="00B050D8"/>
    <w:rsid w:val="00B11CCB"/>
    <w:rsid w:val="00B17E38"/>
    <w:rsid w:val="00B243FF"/>
    <w:rsid w:val="00B306E5"/>
    <w:rsid w:val="00B321D8"/>
    <w:rsid w:val="00B43C20"/>
    <w:rsid w:val="00B473AB"/>
    <w:rsid w:val="00B51AA6"/>
    <w:rsid w:val="00B56545"/>
    <w:rsid w:val="00B63187"/>
    <w:rsid w:val="00B7261E"/>
    <w:rsid w:val="00B76081"/>
    <w:rsid w:val="00B8713B"/>
    <w:rsid w:val="00B96B24"/>
    <w:rsid w:val="00B97088"/>
    <w:rsid w:val="00BB322D"/>
    <w:rsid w:val="00BC113A"/>
    <w:rsid w:val="00BC30D3"/>
    <w:rsid w:val="00BC5F34"/>
    <w:rsid w:val="00BE51D7"/>
    <w:rsid w:val="00BF0DD4"/>
    <w:rsid w:val="00BF7920"/>
    <w:rsid w:val="00C0043F"/>
    <w:rsid w:val="00C0056C"/>
    <w:rsid w:val="00C0692C"/>
    <w:rsid w:val="00C06F4F"/>
    <w:rsid w:val="00C1690F"/>
    <w:rsid w:val="00C17890"/>
    <w:rsid w:val="00C24257"/>
    <w:rsid w:val="00C25F24"/>
    <w:rsid w:val="00C33450"/>
    <w:rsid w:val="00C548AD"/>
    <w:rsid w:val="00C55B6D"/>
    <w:rsid w:val="00C65CF0"/>
    <w:rsid w:val="00C72CEB"/>
    <w:rsid w:val="00C842F5"/>
    <w:rsid w:val="00C8468A"/>
    <w:rsid w:val="00C9018B"/>
    <w:rsid w:val="00C94FE2"/>
    <w:rsid w:val="00CA0CE0"/>
    <w:rsid w:val="00CA1872"/>
    <w:rsid w:val="00CA5FD2"/>
    <w:rsid w:val="00CA62A2"/>
    <w:rsid w:val="00CB3F29"/>
    <w:rsid w:val="00CD49EA"/>
    <w:rsid w:val="00CD5430"/>
    <w:rsid w:val="00CE12FB"/>
    <w:rsid w:val="00D13879"/>
    <w:rsid w:val="00D142D4"/>
    <w:rsid w:val="00D2450F"/>
    <w:rsid w:val="00D35AEB"/>
    <w:rsid w:val="00D40545"/>
    <w:rsid w:val="00D50FBA"/>
    <w:rsid w:val="00D514F9"/>
    <w:rsid w:val="00D54AC3"/>
    <w:rsid w:val="00D610E3"/>
    <w:rsid w:val="00D61838"/>
    <w:rsid w:val="00D63FB1"/>
    <w:rsid w:val="00D672F7"/>
    <w:rsid w:val="00D75082"/>
    <w:rsid w:val="00D7706D"/>
    <w:rsid w:val="00D91865"/>
    <w:rsid w:val="00D965D3"/>
    <w:rsid w:val="00DA3624"/>
    <w:rsid w:val="00DA787B"/>
    <w:rsid w:val="00DC29A0"/>
    <w:rsid w:val="00DD7C1D"/>
    <w:rsid w:val="00DE44BF"/>
    <w:rsid w:val="00DE4D2D"/>
    <w:rsid w:val="00DE7218"/>
    <w:rsid w:val="00DF065E"/>
    <w:rsid w:val="00DF146E"/>
    <w:rsid w:val="00DF65FE"/>
    <w:rsid w:val="00E01651"/>
    <w:rsid w:val="00E02C57"/>
    <w:rsid w:val="00E2096F"/>
    <w:rsid w:val="00E22E73"/>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5149"/>
    <w:rsid w:val="00F80373"/>
    <w:rsid w:val="00F900A0"/>
    <w:rsid w:val="00F952D0"/>
    <w:rsid w:val="00FA4614"/>
    <w:rsid w:val="00FC0271"/>
    <w:rsid w:val="00FD2FA6"/>
    <w:rsid w:val="00FD4C39"/>
    <w:rsid w:val="00FD5CB3"/>
    <w:rsid w:val="00FE51DF"/>
    <w:rsid w:val="00FE668D"/>
    <w:rsid w:val="00FF0FE1"/>
    <w:rsid w:val="00FF3736"/>
    <w:rsid w:val="1099529B"/>
    <w:rsid w:val="126C149A"/>
    <w:rsid w:val="1F594FF1"/>
    <w:rsid w:val="2E5D6659"/>
    <w:rsid w:val="2EA8429B"/>
    <w:rsid w:val="34B8552F"/>
    <w:rsid w:val="47DA2E5A"/>
    <w:rsid w:val="4E6903DA"/>
    <w:rsid w:val="4F4B0E46"/>
    <w:rsid w:val="500D4CC6"/>
    <w:rsid w:val="572B543E"/>
    <w:rsid w:val="608E339B"/>
    <w:rsid w:val="6BC23FFE"/>
    <w:rsid w:val="6D400349"/>
    <w:rsid w:val="7BBD6566"/>
    <w:rsid w:val="7E2619C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5"/>
    <w:qFormat/>
    <w:locked/>
    <w:uiPriority w:val="99"/>
    <w:pPr>
      <w:keepNext/>
      <w:keepLines/>
      <w:outlineLvl w:val="3"/>
    </w:pPr>
    <w:rPr>
      <w:rFonts w:ascii="Arial" w:hAnsi="Arial" w:eastAsia="黑体"/>
      <w:kern w:val="0"/>
      <w:sz w:val="28"/>
      <w:szCs w:val="20"/>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qFormat/>
    <w:uiPriority w:val="99"/>
    <w:rPr>
      <w:rFonts w:cs="Times New Roman"/>
      <w:color w:val="0000FF"/>
      <w:u w:val="single"/>
    </w:rPr>
  </w:style>
  <w:style w:type="character" w:customStyle="1" w:styleId="12">
    <w:name w:val="Heading 4 Char"/>
    <w:basedOn w:val="7"/>
    <w:link w:val="2"/>
    <w:semiHidden/>
    <w:qFormat/>
    <w:locked/>
    <w:uiPriority w:val="99"/>
    <w:rPr>
      <w:rFonts w:ascii="Cambria" w:hAnsi="Cambria" w:eastAsia="宋体" w:cs="Times New Roman"/>
      <w:b/>
      <w:bCs/>
      <w:sz w:val="28"/>
      <w:szCs w:val="28"/>
    </w:rPr>
  </w:style>
  <w:style w:type="character" w:customStyle="1" w:styleId="13">
    <w:name w:val="页眉 Char"/>
    <w:basedOn w:val="7"/>
    <w:link w:val="6"/>
    <w:semiHidden/>
    <w:qFormat/>
    <w:locked/>
    <w:uiPriority w:val="99"/>
    <w:rPr>
      <w:rFonts w:cs="Times New Roman"/>
      <w:sz w:val="18"/>
      <w:szCs w:val="18"/>
    </w:rPr>
  </w:style>
  <w:style w:type="character" w:customStyle="1" w:styleId="14">
    <w:name w:val="页脚 Char"/>
    <w:basedOn w:val="7"/>
    <w:link w:val="5"/>
    <w:qFormat/>
    <w:locked/>
    <w:uiPriority w:val="99"/>
    <w:rPr>
      <w:rFonts w:cs="Times New Roman"/>
      <w:sz w:val="18"/>
      <w:szCs w:val="18"/>
    </w:rPr>
  </w:style>
  <w:style w:type="character" w:customStyle="1" w:styleId="15">
    <w:name w:val="标题 4 Char"/>
    <w:link w:val="2"/>
    <w:qFormat/>
    <w:locked/>
    <w:uiPriority w:val="99"/>
    <w:rPr>
      <w:rFonts w:ascii="Arial" w:hAnsi="Arial" w:eastAsia="黑体"/>
      <w:sz w:val="28"/>
      <w:lang w:val="en-US" w:eastAsia="zh-CN"/>
    </w:rPr>
  </w:style>
  <w:style w:type="character" w:customStyle="1" w:styleId="16">
    <w:name w:val="日期 Char"/>
    <w:basedOn w:val="7"/>
    <w:link w:val="3"/>
    <w:semiHidden/>
    <w:qFormat/>
    <w:locked/>
    <w:uiPriority w:val="99"/>
    <w:rPr>
      <w:rFonts w:cs="Times New Roman"/>
    </w:rPr>
  </w:style>
  <w:style w:type="character" w:customStyle="1" w:styleId="17">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8E60-FB60-4A82-910C-7620605F476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768</Words>
  <Characters>4380</Characters>
  <Lines>36</Lines>
  <Paragraphs>10</Paragraphs>
  <ScaleCrop>false</ScaleCrop>
  <LinksUpToDate>false</LinksUpToDate>
  <CharactersWithSpaces>5138</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2015-09-01T08:50:00Z</dcterms:created>
  <dc:creator>微软用户</dc:creator>
  <cp:lastModifiedBy>Administrator</cp:lastModifiedBy>
  <cp:lastPrinted>2015-11-05T09:14:00Z</cp:lastPrinted>
  <dcterms:modified xsi:type="dcterms:W3CDTF">2016-06-01T02:24:12Z</dcterms:modified>
  <dc:title>附件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