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5795">
      <w:pPr>
        <w:spacing w:line="360" w:lineRule="auto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滨海港镇天然气场站项目工艺设备及附属工程</w:t>
      </w:r>
    </w:p>
    <w:p w14:paraId="6A71CEA9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预算编制说明</w:t>
      </w:r>
    </w:p>
    <w:p w14:paraId="2C115A07">
      <w:pPr>
        <w:spacing w:line="360" w:lineRule="auto"/>
        <w:ind w:firstLine="480" w:firstLineChars="200"/>
        <w:rPr>
          <w:rFonts w:hint="eastAsia"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一、工程概况：由盐城润泽能源发展有限公司投资兴建的</w:t>
      </w:r>
      <w:r>
        <w:rPr>
          <w:rFonts w:hint="eastAsia" w:hAnsi="宋体"/>
          <w:sz w:val="24"/>
          <w:lang w:val="en-US" w:eastAsia="zh-CN"/>
        </w:rPr>
        <w:t>滨海港镇天然气场站项目工艺设备及附属工程</w:t>
      </w:r>
      <w:r>
        <w:rPr>
          <w:rFonts w:hint="eastAsia" w:hAnsi="宋体"/>
          <w:sz w:val="24"/>
          <w:lang w:eastAsia="zh-CN"/>
        </w:rPr>
        <w:t>，工程位于滨海港镇坎振线南侧、伟城路东侧，用地面积约为14.74亩，站内划分为生产区、生产辅助区。</w:t>
      </w:r>
      <w:bookmarkStart w:id="0" w:name="_GoBack"/>
      <w:bookmarkEnd w:id="0"/>
    </w:p>
    <w:p w14:paraId="6B43C9D2">
      <w:pPr>
        <w:spacing w:line="360" w:lineRule="auto"/>
        <w:ind w:firstLine="480" w:firstLineChars="200"/>
        <w:rPr>
          <w:rFonts w:hint="eastAsia" w:hAnsi="宋体"/>
          <w:sz w:val="24"/>
          <w:highlight w:val="none"/>
          <w:lang w:eastAsia="zh-CN"/>
        </w:rPr>
      </w:pPr>
      <w:r>
        <w:rPr>
          <w:rFonts w:hint="eastAsia" w:hAnsi="宋体"/>
          <w:sz w:val="24"/>
          <w:lang w:eastAsia="zh-CN"/>
        </w:rPr>
        <w:t>二、本工程范围包括：</w:t>
      </w:r>
      <w:r>
        <w:rPr>
          <w:rFonts w:hint="eastAsia"/>
          <w:sz w:val="24"/>
          <w:highlight w:val="none"/>
          <w:lang w:val="en-US" w:eastAsia="zh-CN"/>
        </w:rPr>
        <w:t>附属工程（土方、道路、雨污水管道、室外附属安装）、工艺部分及配套设备基础、站场安装、自控系统、通信系统、拆除部分（金马LNG应急调峰站）等工程。</w:t>
      </w:r>
    </w:p>
    <w:p w14:paraId="5E971F4D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三、编制依据</w:t>
      </w:r>
    </w:p>
    <w:p w14:paraId="2A99FB9F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建设部《建设工程工程量清单计价规范》（GB50500-2013）、《通用安装工程工程量计算规范》（GB50856-2013）、《市政工程工程量计算规范》（GB50857-2013）、《房屋建筑与装饰工程工程量计算规范》（GB50854-2013）等计算规范。</w:t>
      </w:r>
    </w:p>
    <w:p w14:paraId="756AB94D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定额采用《江苏省建筑与装饰工程计价定额》（2014版），《江苏省安装工程计价定额》（2014版），《江苏省市政工程计价定额》（2014年版），《江苏省建设工程费用定额》（2014年）及营改增后调整内容（苏建价【2016】154号）。</w:t>
      </w:r>
    </w:p>
    <w:p w14:paraId="219090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3、建设单位提供的设计的施工图及回复。</w:t>
      </w:r>
    </w:p>
    <w:p w14:paraId="649A0907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4、材料价格按《盐城工程造价》20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年第1期材料指导价计入，无信息价部分材料价格按市场价确定。</w:t>
      </w:r>
    </w:p>
    <w:p w14:paraId="4E2C0DB6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5、人工费调整按苏建函价〔20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〕</w:t>
      </w:r>
      <w:r>
        <w:rPr>
          <w:rFonts w:hint="eastAsia"/>
          <w:sz w:val="24"/>
          <w:lang w:val="en-US" w:eastAsia="zh-CN"/>
        </w:rPr>
        <w:t>273</w:t>
      </w:r>
      <w:r>
        <w:rPr>
          <w:rFonts w:hint="eastAsia"/>
          <w:sz w:val="24"/>
        </w:rPr>
        <w:t>号文执行。</w:t>
      </w:r>
    </w:p>
    <w:p w14:paraId="5B9F4213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四、其他说明</w:t>
      </w:r>
    </w:p>
    <w:p w14:paraId="28E482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土方工程经与建设单位、测绘和设计对接，现场经过前期土方的回填，道路工程未考虑土方开挖和回填，其他单位工程土方按照常规施工方案考虑。投标人应根据本工程施工范围内土方场内进行平衡，缺土外购土进行回填。所有外购土土源及土质经甲方验收后方可施工，填方来源及运距由投标人自行考虑，不得随意开挖周边的土方进行回填，如经发现，一切责任后果自负，投标人应综合考虑土方工程施工过程中所发生的一切费用。具体满足甲方要求施工。</w:t>
      </w:r>
    </w:p>
    <w:p w14:paraId="14CEB42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模板按接触面积计算；垂直运输、脚手架、大型机械设备进出场及安拆、电梯井脚手架以“项”由投标人综合考虑报价，包含人工、材料、机械等一切费用，实际施工中不论发生多少，结算时均按中标价包死不调整。</w:t>
      </w:r>
    </w:p>
    <w:p w14:paraId="611B046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、本工程混凝土内的外加剂(膨胀剂、抗冻剂、抗渗剂等)在编制预算时已充分考虑，投标人在投标报价时综合考虑，竣工结算时不调整。</w:t>
      </w:r>
    </w:p>
    <w:p w14:paraId="265CC0A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、砼按照商品砼考虑，是否泵送投标人在报价中自行考虑；砂浆按照预拌砂浆考虑。</w:t>
      </w:r>
    </w:p>
    <w:p w14:paraId="1C5B7B1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、总价措施费暂考虑现场安全文明施工中基本费、扬尘污染防治增加费、临时设施费、建筑工人实名制费用、智慧工地费用，其中临时设施费因前期围挡已施工，临时设施费费率按照最低值考虑计入。</w:t>
      </w:r>
    </w:p>
    <w:p w14:paraId="7F679B3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、环境保护税在预算编制时未考虑。</w:t>
      </w:r>
    </w:p>
    <w:p w14:paraId="6276FD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、工程中出现的地方矛盾及协调、围护措施等由施工单位自行解决并综合考虑此报价中。</w:t>
      </w:r>
    </w:p>
    <w:p w14:paraId="47DD625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、投标人应综合考虑环境保护费、夜间施工增加费、已完工程及设备保护费、赶工措施费、特殊条件下施工增加费、便道、便桥、现场施工围护、临时设施费、二次搬运费、克服冬雨季影响正常施工措施费、员工通道、防疫措施等其它一切措施费，便道如遇交通道口应满足行人的需要，由投标人综合考虑在相应的投标报价施工中不签证不调整，最终结算时价格不予调整。</w:t>
      </w:r>
    </w:p>
    <w:p w14:paraId="47A7136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、若清单项目特征描述与图纸存在差异，按清单项目特征描述组价。</w:t>
      </w:r>
    </w:p>
    <w:p w14:paraId="4146775C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</w:rPr>
        <w:t>、本工程施工图纸无绿化专业施工详图、无苗木规格及工程量做法说明，本次预算编制未计入绿化工程相关内容。</w:t>
      </w:r>
    </w:p>
    <w:p w14:paraId="5B85250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5E5504B6">
      <w:pPr>
        <w:spacing w:line="360" w:lineRule="auto"/>
        <w:ind w:firstLine="480" w:firstLineChars="200"/>
        <w:rPr>
          <w:rFonts w:hint="eastAsia"/>
          <w:sz w:val="24"/>
        </w:rPr>
      </w:pPr>
    </w:p>
    <w:p w14:paraId="2B401596">
      <w:pPr>
        <w:spacing w:line="360" w:lineRule="auto"/>
        <w:ind w:firstLine="600" w:firstLineChars="250"/>
        <w:jc w:val="right"/>
        <w:rPr>
          <w:rFonts w:hint="eastAsia"/>
          <w:sz w:val="24"/>
        </w:rPr>
      </w:pPr>
    </w:p>
    <w:p w14:paraId="19FEF91A">
      <w:pPr>
        <w:spacing w:line="360" w:lineRule="auto"/>
        <w:ind w:firstLine="600" w:firstLineChars="250"/>
        <w:jc w:val="right"/>
        <w:rPr>
          <w:rFonts w:hint="eastAsia"/>
          <w:sz w:val="24"/>
        </w:rPr>
      </w:pPr>
    </w:p>
    <w:p w14:paraId="72FFB63A">
      <w:pPr>
        <w:spacing w:line="360" w:lineRule="auto"/>
        <w:rPr>
          <w:rFonts w:hint="eastAsia"/>
          <w:sz w:val="24"/>
          <w:szCs w:val="32"/>
        </w:rPr>
      </w:pPr>
    </w:p>
    <w:p w14:paraId="3A3A24A6"/>
    <w:sectPr>
      <w:pgSz w:w="11906" w:h="16838"/>
      <w:pgMar w:top="1440" w:right="1276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926DB"/>
    <w:rsid w:val="13963C5C"/>
    <w:rsid w:val="22813D29"/>
    <w:rsid w:val="240D46A2"/>
    <w:rsid w:val="24B65F0C"/>
    <w:rsid w:val="26E3768B"/>
    <w:rsid w:val="289B7CF8"/>
    <w:rsid w:val="2B994052"/>
    <w:rsid w:val="2D332A25"/>
    <w:rsid w:val="33201E83"/>
    <w:rsid w:val="36B211DD"/>
    <w:rsid w:val="36DE7E22"/>
    <w:rsid w:val="37E70E60"/>
    <w:rsid w:val="450C6F50"/>
    <w:rsid w:val="46D94B59"/>
    <w:rsid w:val="4B4614E8"/>
    <w:rsid w:val="4DB8446C"/>
    <w:rsid w:val="4DE56F3E"/>
    <w:rsid w:val="57B13A5E"/>
    <w:rsid w:val="5A621DFD"/>
    <w:rsid w:val="5AEA11CC"/>
    <w:rsid w:val="5C403904"/>
    <w:rsid w:val="5D885990"/>
    <w:rsid w:val="63604761"/>
    <w:rsid w:val="671958AB"/>
    <w:rsid w:val="69990F25"/>
    <w:rsid w:val="6AC81AC2"/>
    <w:rsid w:val="76045978"/>
    <w:rsid w:val="78240D68"/>
    <w:rsid w:val="7D76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1271</Words>
  <Characters>1347</Characters>
  <Lines>0</Lines>
  <Paragraphs>0</Paragraphs>
  <TotalTime>0</TotalTime>
  <ScaleCrop>false</ScaleCrop>
  <LinksUpToDate>false</LinksUpToDate>
  <CharactersWithSpaces>1347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2025-12-27T06:28:00Z</dcterms:created>
  <dc:creator>Admin</dc:creator>
  <cp:lastModifiedBy>An Ma</cp:lastModifiedBy>
  <dcterms:modified xsi:type="dcterms:W3CDTF">2026-04-29T06:59:59Z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eyJoZGlkIjoiN2ZiNzc2MzU4Njg3OGViYTliMThlMGY5YzRhMmE4OTQiLCJ1c2VySWQiOiIyNDg1NTE2NDIifQ==</vt:lpwstr>
  </property>
  <property fmtid="{D5CDD505-2E9C-101B-9397-08002B2CF9AE}" pid="4" name="ICV">
    <vt:lpwstr>A12D9A48331148398E830A85FE63DF1C_12</vt:lpwstr>
  </property>
</Properties>
</file>